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77D" w:rsidRPr="00977AC7" w:rsidRDefault="0005277D" w:rsidP="00977AC7">
      <w:pPr>
        <w:spacing w:line="480" w:lineRule="auto"/>
        <w:jc w:val="both"/>
        <w:rPr>
          <w:rFonts w:ascii="Times New Roman" w:hAnsi="Times New Roman" w:cs="Times New Roman"/>
          <w:sz w:val="24"/>
          <w:szCs w:val="24"/>
          <w:lang w:val="en-AU"/>
        </w:rPr>
      </w:pPr>
    </w:p>
    <w:p w:rsidR="0005277D" w:rsidRPr="00977AC7" w:rsidRDefault="0005277D" w:rsidP="00977AC7">
      <w:pPr>
        <w:spacing w:line="480" w:lineRule="auto"/>
        <w:jc w:val="both"/>
        <w:rPr>
          <w:rFonts w:ascii="Times New Roman" w:hAnsi="Times New Roman" w:cs="Times New Roman"/>
          <w:sz w:val="24"/>
          <w:szCs w:val="24"/>
          <w:lang w:val="en-AU"/>
        </w:rPr>
      </w:pPr>
    </w:p>
    <w:p w:rsidR="0005277D" w:rsidRPr="00977AC7" w:rsidRDefault="0005277D" w:rsidP="00977AC7">
      <w:pPr>
        <w:spacing w:line="480" w:lineRule="auto"/>
        <w:jc w:val="both"/>
        <w:rPr>
          <w:rFonts w:ascii="Times New Roman" w:hAnsi="Times New Roman" w:cs="Times New Roman"/>
          <w:sz w:val="24"/>
          <w:szCs w:val="24"/>
          <w:lang w:val="en-AU"/>
        </w:rPr>
      </w:pPr>
    </w:p>
    <w:p w:rsidR="0005277D" w:rsidRPr="00977AC7" w:rsidRDefault="0005277D" w:rsidP="00977AC7">
      <w:pPr>
        <w:spacing w:line="480" w:lineRule="auto"/>
        <w:jc w:val="both"/>
        <w:rPr>
          <w:rFonts w:ascii="Times New Roman" w:hAnsi="Times New Roman" w:cs="Times New Roman"/>
          <w:sz w:val="24"/>
          <w:szCs w:val="24"/>
          <w:lang w:val="en-AU"/>
        </w:rPr>
      </w:pPr>
    </w:p>
    <w:p w:rsidR="0005277D" w:rsidRPr="00977AC7" w:rsidRDefault="0005277D" w:rsidP="00977AC7">
      <w:pPr>
        <w:spacing w:line="480" w:lineRule="auto"/>
        <w:jc w:val="both"/>
        <w:rPr>
          <w:rFonts w:ascii="Times New Roman" w:hAnsi="Times New Roman" w:cs="Times New Roman"/>
          <w:sz w:val="24"/>
          <w:szCs w:val="24"/>
          <w:lang w:val="en-AU"/>
        </w:rPr>
      </w:pPr>
    </w:p>
    <w:p w:rsidR="0005277D" w:rsidRPr="00977AC7" w:rsidRDefault="0005277D" w:rsidP="00977AC7">
      <w:pPr>
        <w:spacing w:line="480" w:lineRule="auto"/>
        <w:jc w:val="both"/>
        <w:rPr>
          <w:rFonts w:ascii="Times New Roman" w:hAnsi="Times New Roman" w:cs="Times New Roman"/>
          <w:sz w:val="24"/>
          <w:szCs w:val="24"/>
          <w:lang w:val="en-AU"/>
        </w:rPr>
      </w:pPr>
    </w:p>
    <w:p w:rsidR="0005277D" w:rsidRPr="00977AC7" w:rsidRDefault="0005277D" w:rsidP="00977AC7">
      <w:pPr>
        <w:spacing w:line="480" w:lineRule="auto"/>
        <w:jc w:val="both"/>
        <w:rPr>
          <w:rFonts w:ascii="Times New Roman" w:hAnsi="Times New Roman" w:cs="Times New Roman"/>
          <w:sz w:val="24"/>
          <w:szCs w:val="24"/>
          <w:lang w:val="en-AU"/>
        </w:rPr>
      </w:pPr>
    </w:p>
    <w:p w:rsidR="008D1403" w:rsidRPr="00977AC7" w:rsidRDefault="00C17A82" w:rsidP="00977AC7">
      <w:pPr>
        <w:spacing w:line="480" w:lineRule="auto"/>
        <w:jc w:val="center"/>
        <w:rPr>
          <w:rFonts w:ascii="Times New Roman" w:hAnsi="Times New Roman" w:cs="Times New Roman"/>
          <w:sz w:val="24"/>
          <w:szCs w:val="24"/>
          <w:lang w:val="en-AU"/>
        </w:rPr>
      </w:pPr>
      <w:r w:rsidRPr="00977AC7">
        <w:rPr>
          <w:rFonts w:ascii="Times New Roman" w:hAnsi="Times New Roman" w:cs="Times New Roman"/>
          <w:sz w:val="24"/>
          <w:szCs w:val="24"/>
          <w:lang w:val="en-AU"/>
        </w:rPr>
        <w:t>Role of Social and Health Planning in the Fight of Cancer</w:t>
      </w:r>
    </w:p>
    <w:p w:rsidR="00C17A82" w:rsidRPr="00977AC7" w:rsidRDefault="00C17A82" w:rsidP="00977AC7">
      <w:pPr>
        <w:spacing w:line="480" w:lineRule="auto"/>
        <w:jc w:val="center"/>
        <w:rPr>
          <w:rFonts w:ascii="Times New Roman" w:hAnsi="Times New Roman" w:cs="Times New Roman"/>
          <w:sz w:val="24"/>
          <w:szCs w:val="24"/>
          <w:lang w:val="en-AU"/>
        </w:rPr>
      </w:pPr>
      <w:r w:rsidRPr="00977AC7">
        <w:rPr>
          <w:rFonts w:ascii="Times New Roman" w:hAnsi="Times New Roman" w:cs="Times New Roman"/>
          <w:sz w:val="24"/>
          <w:szCs w:val="24"/>
          <w:lang w:val="en-AU"/>
        </w:rPr>
        <w:t>Author:</w:t>
      </w:r>
    </w:p>
    <w:p w:rsidR="00C17A82" w:rsidRPr="00977AC7" w:rsidRDefault="00C17A82" w:rsidP="00977AC7">
      <w:pPr>
        <w:spacing w:line="480" w:lineRule="auto"/>
        <w:jc w:val="center"/>
        <w:rPr>
          <w:rFonts w:ascii="Times New Roman" w:hAnsi="Times New Roman" w:cs="Times New Roman"/>
          <w:sz w:val="24"/>
          <w:szCs w:val="24"/>
          <w:lang w:val="en-AU"/>
        </w:rPr>
      </w:pPr>
      <w:r w:rsidRPr="00977AC7">
        <w:rPr>
          <w:rFonts w:ascii="Times New Roman" w:hAnsi="Times New Roman" w:cs="Times New Roman"/>
          <w:sz w:val="24"/>
          <w:szCs w:val="24"/>
          <w:lang w:val="en-AU"/>
        </w:rPr>
        <w:t>Institution:</w:t>
      </w:r>
    </w:p>
    <w:p w:rsidR="00C17A82" w:rsidRPr="00977AC7" w:rsidRDefault="00C17A82" w:rsidP="00977AC7">
      <w:pPr>
        <w:spacing w:line="480" w:lineRule="auto"/>
        <w:jc w:val="center"/>
        <w:rPr>
          <w:rFonts w:ascii="Times New Roman" w:hAnsi="Times New Roman" w:cs="Times New Roman"/>
          <w:sz w:val="24"/>
          <w:szCs w:val="24"/>
          <w:lang w:val="en-AU"/>
        </w:rPr>
      </w:pPr>
      <w:r w:rsidRPr="00977AC7">
        <w:rPr>
          <w:rFonts w:ascii="Times New Roman" w:hAnsi="Times New Roman" w:cs="Times New Roman"/>
          <w:sz w:val="24"/>
          <w:szCs w:val="24"/>
          <w:lang w:val="en-AU"/>
        </w:rPr>
        <w:t>Date:</w:t>
      </w:r>
    </w:p>
    <w:p w:rsidR="00744133" w:rsidRPr="00977AC7" w:rsidRDefault="00744133" w:rsidP="00977AC7">
      <w:pPr>
        <w:spacing w:line="480" w:lineRule="auto"/>
        <w:jc w:val="center"/>
        <w:rPr>
          <w:rFonts w:ascii="Times New Roman" w:hAnsi="Times New Roman" w:cs="Times New Roman"/>
          <w:sz w:val="24"/>
          <w:szCs w:val="24"/>
          <w:lang w:val="en-AU"/>
        </w:rPr>
      </w:pPr>
    </w:p>
    <w:p w:rsidR="0005277D" w:rsidRPr="00977AC7" w:rsidRDefault="0005277D" w:rsidP="00977AC7">
      <w:pPr>
        <w:spacing w:line="480" w:lineRule="auto"/>
        <w:jc w:val="center"/>
        <w:rPr>
          <w:rFonts w:ascii="Times New Roman" w:hAnsi="Times New Roman" w:cs="Times New Roman"/>
          <w:sz w:val="24"/>
          <w:szCs w:val="24"/>
          <w:lang w:val="en-AU"/>
        </w:rPr>
      </w:pPr>
    </w:p>
    <w:p w:rsidR="0005277D" w:rsidRPr="00977AC7" w:rsidRDefault="0005277D" w:rsidP="00977AC7">
      <w:pPr>
        <w:spacing w:line="480" w:lineRule="auto"/>
        <w:jc w:val="center"/>
        <w:rPr>
          <w:rFonts w:ascii="Times New Roman" w:hAnsi="Times New Roman" w:cs="Times New Roman"/>
          <w:sz w:val="24"/>
          <w:szCs w:val="24"/>
          <w:lang w:val="en-AU"/>
        </w:rPr>
      </w:pPr>
    </w:p>
    <w:p w:rsidR="0005277D" w:rsidRPr="00977AC7" w:rsidRDefault="0005277D" w:rsidP="00977AC7">
      <w:pPr>
        <w:spacing w:line="480" w:lineRule="auto"/>
        <w:jc w:val="center"/>
        <w:rPr>
          <w:rFonts w:ascii="Times New Roman" w:hAnsi="Times New Roman" w:cs="Times New Roman"/>
          <w:sz w:val="24"/>
          <w:szCs w:val="24"/>
          <w:lang w:val="en-AU"/>
        </w:rPr>
      </w:pPr>
    </w:p>
    <w:p w:rsidR="0005277D" w:rsidRPr="00977AC7" w:rsidRDefault="0005277D" w:rsidP="00977AC7">
      <w:pPr>
        <w:spacing w:line="480" w:lineRule="auto"/>
        <w:jc w:val="center"/>
        <w:rPr>
          <w:rFonts w:ascii="Times New Roman" w:hAnsi="Times New Roman" w:cs="Times New Roman"/>
          <w:sz w:val="24"/>
          <w:szCs w:val="24"/>
          <w:lang w:val="en-AU"/>
        </w:rPr>
      </w:pPr>
    </w:p>
    <w:p w:rsidR="0005277D" w:rsidRPr="00977AC7" w:rsidRDefault="0005277D" w:rsidP="00977AC7">
      <w:pPr>
        <w:spacing w:line="480" w:lineRule="auto"/>
        <w:jc w:val="both"/>
        <w:rPr>
          <w:rFonts w:ascii="Times New Roman" w:hAnsi="Times New Roman" w:cs="Times New Roman"/>
          <w:sz w:val="24"/>
          <w:szCs w:val="24"/>
          <w:lang w:val="en-AU"/>
        </w:rPr>
      </w:pPr>
    </w:p>
    <w:p w:rsidR="0005277D" w:rsidRPr="00977AC7" w:rsidRDefault="0005277D" w:rsidP="00977AC7">
      <w:pPr>
        <w:spacing w:line="480" w:lineRule="auto"/>
        <w:jc w:val="both"/>
        <w:rPr>
          <w:rFonts w:ascii="Times New Roman" w:hAnsi="Times New Roman" w:cs="Times New Roman"/>
          <w:sz w:val="24"/>
          <w:szCs w:val="24"/>
          <w:lang w:val="en-AU"/>
        </w:rPr>
      </w:pPr>
    </w:p>
    <w:p w:rsidR="00744133" w:rsidRPr="00977AC7" w:rsidRDefault="00744133" w:rsidP="00977AC7">
      <w:pPr>
        <w:spacing w:line="480" w:lineRule="auto"/>
        <w:jc w:val="center"/>
        <w:rPr>
          <w:rFonts w:ascii="Times New Roman" w:hAnsi="Times New Roman" w:cs="Times New Roman"/>
          <w:b/>
          <w:sz w:val="24"/>
          <w:szCs w:val="24"/>
          <w:lang w:val="en-AU"/>
        </w:rPr>
      </w:pPr>
      <w:r w:rsidRPr="00977AC7">
        <w:rPr>
          <w:rFonts w:ascii="Times New Roman" w:hAnsi="Times New Roman" w:cs="Times New Roman"/>
          <w:b/>
          <w:sz w:val="24"/>
          <w:szCs w:val="24"/>
          <w:lang w:val="en-AU"/>
        </w:rPr>
        <w:lastRenderedPageBreak/>
        <w:t>Introduction</w:t>
      </w:r>
    </w:p>
    <w:p w:rsidR="00744133" w:rsidRDefault="00CA3FCF" w:rsidP="00977AC7">
      <w:pPr>
        <w:pStyle w:val="NormalWeb"/>
        <w:spacing w:before="0" w:beforeAutospacing="0" w:after="0" w:afterAutospacing="0" w:line="480" w:lineRule="auto"/>
        <w:ind w:firstLine="720"/>
        <w:jc w:val="both"/>
        <w:rPr>
          <w:lang w:val="en-AU"/>
        </w:rPr>
      </w:pPr>
      <w:r w:rsidRPr="00977AC7">
        <w:rPr>
          <w:lang w:val="en-AU"/>
        </w:rPr>
        <w:t>Preventative health is at the core of a vibrant health system of any country, and sadly, for Australia, of the entire health expenditure, only about 2 percent goes into preventive health activities (Shiell and Jackson, 2018). A considerable section of preventive health is about creating and implementing social and health plans for target populations with the aim of improving health outcomes. One chronic illness that calls for better social and healthcare planning is cancer which is fatal but can be strategically managed with proper nation-wide initiatives. Scholarly evidence reveals that cancer care embodies high and rapidly rising costs in the Australian healthcare system (</w:t>
      </w:r>
      <w:hyperlink r:id="rId6" w:tgtFrame="_blank" w:history="1">
        <w:r w:rsidRPr="00977AC7">
          <w:rPr>
            <w:rStyle w:val="Hyperlink"/>
            <w:color w:val="auto"/>
            <w:u w:val="none"/>
            <w:lang w:val="en-AU"/>
          </w:rPr>
          <w:t>Goldsbury</w:t>
        </w:r>
      </w:hyperlink>
      <w:r w:rsidRPr="00977AC7">
        <w:rPr>
          <w:lang w:val="en-AU"/>
        </w:rPr>
        <w:t> et al., 2018). The average rate of cancer diagnosis is 380 individuals per day, and the disease is the leading cause of mortality; and it accounted for about 50,000 deaths in 2019 alone (Rodi et al., 2020). This high prevalence of cancer is often attributable to the ageing and rising population as well as lifestyle and environmental factors (</w:t>
      </w:r>
      <w:hyperlink r:id="rId7" w:tgtFrame="_blank" w:history="1">
        <w:r w:rsidRPr="00977AC7">
          <w:rPr>
            <w:rStyle w:val="Hyperlink"/>
            <w:color w:val="auto"/>
            <w:u w:val="none"/>
            <w:lang w:val="en-AU"/>
          </w:rPr>
          <w:t>Goldsbury</w:t>
        </w:r>
      </w:hyperlink>
      <w:r w:rsidRPr="00977AC7">
        <w:rPr>
          <w:lang w:val="en-AU"/>
        </w:rPr>
        <w:t> et al., 2018). With social and healthcare planning being linked to effective disease management and improved health outcomes, this paper focuses on how this can apply to the prevention and management of cancer as a highly prevalent, chronic diseases throughout Australia</w:t>
      </w:r>
      <w:r w:rsidR="00445423" w:rsidRPr="00977AC7">
        <w:rPr>
          <w:lang w:val="en-AU"/>
        </w:rPr>
        <w:t xml:space="preserve">. </w:t>
      </w:r>
    </w:p>
    <w:p w:rsidR="00977AC7" w:rsidRPr="00977AC7" w:rsidRDefault="00977AC7" w:rsidP="00977AC7">
      <w:pPr>
        <w:pStyle w:val="NormalWeb"/>
        <w:spacing w:before="0" w:beforeAutospacing="0" w:after="0" w:afterAutospacing="0" w:line="480" w:lineRule="auto"/>
        <w:ind w:firstLine="720"/>
        <w:jc w:val="both"/>
        <w:rPr>
          <w:lang w:val="en-AU"/>
        </w:rPr>
      </w:pPr>
    </w:p>
    <w:p w:rsidR="00526A34" w:rsidRPr="00977AC7" w:rsidRDefault="00D04FF3" w:rsidP="00977AC7">
      <w:pPr>
        <w:spacing w:line="276" w:lineRule="auto"/>
        <w:jc w:val="center"/>
        <w:rPr>
          <w:rFonts w:ascii="Times New Roman" w:hAnsi="Times New Roman" w:cs="Times New Roman"/>
          <w:b/>
          <w:sz w:val="24"/>
          <w:szCs w:val="24"/>
          <w:lang w:val="en-AU"/>
        </w:rPr>
      </w:pPr>
      <w:r w:rsidRPr="00977AC7">
        <w:rPr>
          <w:rFonts w:ascii="Times New Roman" w:hAnsi="Times New Roman" w:cs="Times New Roman"/>
          <w:b/>
          <w:sz w:val="24"/>
          <w:szCs w:val="24"/>
          <w:lang w:val="en-AU"/>
        </w:rPr>
        <w:t>Social &amp; Health Planning in Cancer Preventi</w:t>
      </w:r>
      <w:r w:rsidR="000E7AC8" w:rsidRPr="00977AC7">
        <w:rPr>
          <w:rFonts w:ascii="Times New Roman" w:hAnsi="Times New Roman" w:cs="Times New Roman"/>
          <w:b/>
          <w:sz w:val="24"/>
          <w:szCs w:val="24"/>
          <w:lang w:val="en-AU"/>
        </w:rPr>
        <w:t>o</w:t>
      </w:r>
      <w:r w:rsidRPr="00977AC7">
        <w:rPr>
          <w:rFonts w:ascii="Times New Roman" w:hAnsi="Times New Roman" w:cs="Times New Roman"/>
          <w:b/>
          <w:sz w:val="24"/>
          <w:szCs w:val="24"/>
          <w:lang w:val="en-AU"/>
        </w:rPr>
        <w:t>n &amp; Management</w:t>
      </w:r>
    </w:p>
    <w:p w:rsidR="00CA3FCF" w:rsidRPr="00977AC7" w:rsidRDefault="00CA3FCF" w:rsidP="00977AC7">
      <w:pPr>
        <w:pStyle w:val="NormalWeb"/>
        <w:spacing w:before="0" w:beforeAutospacing="0" w:after="0" w:afterAutospacing="0" w:line="480" w:lineRule="auto"/>
        <w:ind w:firstLine="720"/>
        <w:jc w:val="both"/>
        <w:rPr>
          <w:lang w:val="en-AU"/>
        </w:rPr>
      </w:pPr>
      <w:r w:rsidRPr="00977AC7">
        <w:rPr>
          <w:lang w:val="en-AU"/>
        </w:rPr>
        <w:t xml:space="preserve">Advanced care planning is understood as a process in which individuals and partners strategise for future health and personal care aligning with values, needs, and preferences to guide clinical decision-making early in time (Rodi et al., 2020). In other words, it is about thinking ahead with regard to treatment choices and care goals to ensure preparedness towards a certain condition (Johnson et al., 2015). The ultimate goal of advanced care planning is aligning the care that an individual actually obtains with their own preference to improve health outcomes (Detering et al., </w:t>
      </w:r>
      <w:r w:rsidRPr="00977AC7">
        <w:rPr>
          <w:lang w:val="en-AU"/>
        </w:rPr>
        <w:lastRenderedPageBreak/>
        <w:t>2020). In the context of prevention and management of cancer, it is integral to building preparedness not only for the persons diagnosed but to the general public. A recent WHO report has emphasised the need for cancer planning since the disease is largely avoidable. Those detected early can be cured, and those in advanced stages accorded care to ease pain and slow the progression of the disease (WHO, 2006). From both a social and health perspective, advanced planning for cancer is about ascertaining the present state of the cancer problem, formulating policy to target groups, and outlining steps to implement the policies (Johnson et al., 2015). In this entire journey, individuals, communities, practitioners, and policymakers are jointly critical partners to provide effective care. </w:t>
      </w:r>
    </w:p>
    <w:p w:rsidR="00CA3FCF" w:rsidRPr="00977AC7" w:rsidRDefault="00CA3FCF" w:rsidP="00977AC7">
      <w:pPr>
        <w:pStyle w:val="NormalWeb"/>
        <w:spacing w:before="0" w:beforeAutospacing="0" w:after="0" w:afterAutospacing="0" w:line="480" w:lineRule="auto"/>
        <w:ind w:firstLine="720"/>
        <w:jc w:val="both"/>
        <w:rPr>
          <w:lang w:val="en-AU"/>
        </w:rPr>
      </w:pPr>
      <w:r w:rsidRPr="00977AC7">
        <w:rPr>
          <w:lang w:val="en-AU"/>
        </w:rPr>
        <w:t>In addition to that, it is essential to emphasise that prevention efforts towards care and prevention of cancer is fact-sensitive and is anchored on an evidence-informed process. For example, one recent initiative in social and health planning has been the optimal care pathway (OCP) which has targeted Aboriginal and Torres Strait Islander in cancer screening and management. OCP’s success began with endorsement, where territory health leaders, state officials, and community leaders endorsed it unanimously due to its inherent benefits (</w:t>
      </w:r>
      <w:hyperlink r:id="rId8" w:tgtFrame="_blank" w:history="1">
        <w:r w:rsidRPr="00977AC7">
          <w:rPr>
            <w:rStyle w:val="Hyperlink"/>
            <w:color w:val="auto"/>
            <w:u w:val="none"/>
            <w:lang w:val="en-AU"/>
          </w:rPr>
          <w:t>Chynoweth</w:t>
        </w:r>
      </w:hyperlink>
      <w:r w:rsidRPr="00977AC7">
        <w:rPr>
          <w:lang w:val="en-AU"/>
        </w:rPr>
        <w:t> et al., 2020). In line with evidence-based practice, OCP was composed of key elements such as cross-cultural communication, optimisation of health literacy, relationship building with the local community, and cultural safety (</w:t>
      </w:r>
      <w:hyperlink r:id="rId9" w:tgtFrame="_blank" w:history="1">
        <w:r w:rsidRPr="00977AC7">
          <w:rPr>
            <w:rStyle w:val="Hyperlink"/>
            <w:color w:val="auto"/>
            <w:u w:val="none"/>
            <w:lang w:val="en-AU"/>
          </w:rPr>
          <w:t>Chynoweth</w:t>
        </w:r>
      </w:hyperlink>
      <w:r w:rsidRPr="00977AC7">
        <w:rPr>
          <w:lang w:val="en-AU"/>
        </w:rPr>
        <w:t xml:space="preserve"> et al., 2020). As a viable instrument, OCP incorporated multidisciplinary teams working towards providing culturally safe and accessible health services in engaging with locals, jointly setting specific goals, motivating them for screening, and realigning cancer management to reflect their needs and preferences. Meiklejohn et al. (2018) also observed that planning gave rise to community-identifiable recommendations that included the creation of a community cancer advocate and peer support </w:t>
      </w:r>
      <w:r w:rsidRPr="00977AC7">
        <w:rPr>
          <w:lang w:val="en-AU"/>
        </w:rPr>
        <w:lastRenderedPageBreak/>
        <w:t>program, selection of cancer-specific first-nation primary healthcare workers, and customised cancer survivorship care plans. These and other gains affirm the need for joint planning to build consensus and goodwill in fighting against cancer prevalence. </w:t>
      </w:r>
    </w:p>
    <w:p w:rsidR="00CA3FCF" w:rsidRPr="00977AC7" w:rsidRDefault="00CA3FCF" w:rsidP="00977AC7">
      <w:pPr>
        <w:pStyle w:val="NormalWeb"/>
        <w:spacing w:before="0" w:beforeAutospacing="0" w:after="0" w:afterAutospacing="0" w:line="480" w:lineRule="auto"/>
        <w:ind w:firstLine="720"/>
        <w:jc w:val="both"/>
        <w:rPr>
          <w:lang w:val="en-AU"/>
        </w:rPr>
      </w:pPr>
      <w:r w:rsidRPr="00977AC7">
        <w:rPr>
          <w:lang w:val="en-AU"/>
        </w:rPr>
        <w:t>Further, emphasis has been placed on the consistency of advanced cancer planning to realise more gains not just in the short term but also in the long run. Exploring findings from a qualitative survey, White et al. (2019) provide that long-standing efforts create more connections to people and communities and offer a more structured way to manage and prevent cancer spread. Additionally, Pockett et al. (2016), from an oncology social work standpoint, argue that sustained planning streamlines integrated care and especially improves psychosocial care where individuals are readily willing to work towards set goals for better management of the disease. In essence, effective planning is not comparative to public relation stunts or flares but sustained efforts cutting across a long timeline and reaching out to many target groups as possible. For instance, establishing cancer screening centres as a short term initiative may not be successful until when there is adequate sensitisation and engagement sessions to shape perspectives on the importance of such screening. </w:t>
      </w:r>
    </w:p>
    <w:p w:rsidR="00CA3FCF" w:rsidRPr="00977AC7" w:rsidRDefault="00CA3FCF" w:rsidP="00977AC7">
      <w:pPr>
        <w:pStyle w:val="NormalWeb"/>
        <w:spacing w:before="0" w:beforeAutospacing="0" w:after="0" w:afterAutospacing="0" w:line="480" w:lineRule="auto"/>
        <w:ind w:firstLine="720"/>
        <w:jc w:val="both"/>
        <w:rPr>
          <w:lang w:val="en-AU"/>
        </w:rPr>
      </w:pPr>
      <w:r w:rsidRPr="00977AC7">
        <w:rPr>
          <w:lang w:val="en-AU"/>
        </w:rPr>
        <w:t>Moving on, the multidisciplinary practitioners involved in the planning process should have cultural competency and advance patient-centred care to make the programs impactful to diverse client systems. In a shifting latitude, practitioners are no longer the ultimate experts but should consider the people-reported experiences, needs, and beliefs regarding the cancer disease (</w:t>
      </w:r>
      <w:hyperlink r:id="rId10" w:tgtFrame="_blank" w:history="1">
        <w:r w:rsidRPr="00977AC7">
          <w:rPr>
            <w:rStyle w:val="Hyperlink"/>
            <w:color w:val="auto"/>
            <w:u w:val="none"/>
            <w:lang w:val="en-AU"/>
          </w:rPr>
          <w:t>Michael</w:t>
        </w:r>
      </w:hyperlink>
      <w:r w:rsidRPr="00977AC7">
        <w:rPr>
          <w:lang w:val="en-AU"/>
        </w:rPr>
        <w:t xml:space="preserve"> et al., 2014). Through patient and family-centred approaches, people have the freedom to make decisions, better understand the disease and engage in people-led dialogue on screening and treatment. For instance, individuals freely converse with caregivers on what it means to undergo screenings and what personal goals one can develop if they are diagnosed with the disease. </w:t>
      </w:r>
      <w:r w:rsidRPr="00977AC7">
        <w:rPr>
          <w:lang w:val="en-AU"/>
        </w:rPr>
        <w:lastRenderedPageBreak/>
        <w:t>In turn, practitioners and caregivers use these insights to shape behaviours, including individual responsibilities towards better managing the disease (Frakking et al., 2020). Besides, at the community level, such an approach helped provide recommendations on how to improve local cancer centres and specific operations in patient care (</w:t>
      </w:r>
      <w:hyperlink r:id="rId11" w:tgtFrame="_blank" w:history="1">
        <w:r w:rsidRPr="00977AC7">
          <w:rPr>
            <w:rStyle w:val="Hyperlink"/>
            <w:color w:val="auto"/>
            <w:u w:val="none"/>
            <w:lang w:val="en-AU"/>
          </w:rPr>
          <w:t>Michael</w:t>
        </w:r>
      </w:hyperlink>
      <w:r w:rsidRPr="00977AC7">
        <w:rPr>
          <w:lang w:val="en-AU"/>
        </w:rPr>
        <w:t> et al., 2014). </w:t>
      </w:r>
    </w:p>
    <w:p w:rsidR="00847E50" w:rsidRPr="00977AC7" w:rsidRDefault="00CA3FCF" w:rsidP="00977AC7">
      <w:pPr>
        <w:pStyle w:val="NormalWeb"/>
        <w:spacing w:before="0" w:beforeAutospacing="0" w:after="0" w:afterAutospacing="0" w:line="480" w:lineRule="auto"/>
        <w:ind w:firstLine="720"/>
        <w:jc w:val="both"/>
        <w:rPr>
          <w:rStyle w:val="acopre"/>
          <w:lang w:val="en-AU"/>
        </w:rPr>
      </w:pPr>
      <w:r w:rsidRPr="00977AC7">
        <w:rPr>
          <w:lang w:val="en-AU"/>
        </w:rPr>
        <w:t>Lastly, both social and healthcare planning provides ideal opportunities towards priority setting and equitable care in cancer prevention and treatment. Like in any other country, cancer care is not perfectly balanced, with first nations at more risk in terms of fewer opportunities to access better healthcare (Thompson et al., 2011: Meiklejohn et al., 2017). One core function of planning is priority setting in which target groups are identified and resources allocated to ensure better care (Manafò et al., 2018). In cancer planning, the target groups are identified, and deliberate action plans are undertaken to ensure intensive engagement, sensitisation, screening, and treatment options. For instance, partners and practitioners may target adolescents and young adults in learning institutions within a particular locale and engage them in sensitisations that would lead to screening and post-screening care. Ultimately, in such initiative, care would be accorded equitably, and youths would not be left behind in efforts to fight cancer spread</w:t>
      </w:r>
      <w:r w:rsidR="00380415" w:rsidRPr="00977AC7">
        <w:rPr>
          <w:rStyle w:val="acopre"/>
          <w:lang w:val="en-AU"/>
        </w:rPr>
        <w:t xml:space="preserve">. </w:t>
      </w:r>
    </w:p>
    <w:p w:rsidR="00380415" w:rsidRPr="00977AC7" w:rsidRDefault="00380415" w:rsidP="00977AC7">
      <w:pPr>
        <w:spacing w:line="480" w:lineRule="auto"/>
        <w:jc w:val="both"/>
        <w:rPr>
          <w:rStyle w:val="acopre"/>
          <w:rFonts w:ascii="Times New Roman" w:hAnsi="Times New Roman" w:cs="Times New Roman"/>
          <w:sz w:val="24"/>
          <w:szCs w:val="24"/>
          <w:lang w:val="en-AU"/>
        </w:rPr>
      </w:pPr>
    </w:p>
    <w:p w:rsidR="00380415" w:rsidRPr="00977AC7" w:rsidRDefault="00380415" w:rsidP="00977AC7">
      <w:pPr>
        <w:spacing w:line="276" w:lineRule="auto"/>
        <w:jc w:val="center"/>
        <w:rPr>
          <w:rStyle w:val="acopre"/>
          <w:rFonts w:ascii="Times New Roman" w:hAnsi="Times New Roman" w:cs="Times New Roman"/>
          <w:b/>
          <w:sz w:val="24"/>
          <w:szCs w:val="24"/>
          <w:lang w:val="en-AU"/>
        </w:rPr>
      </w:pPr>
      <w:r w:rsidRPr="00977AC7">
        <w:rPr>
          <w:rStyle w:val="acopre"/>
          <w:rFonts w:ascii="Times New Roman" w:hAnsi="Times New Roman" w:cs="Times New Roman"/>
          <w:b/>
          <w:sz w:val="24"/>
          <w:szCs w:val="24"/>
          <w:lang w:val="en-AU"/>
        </w:rPr>
        <w:t>Conclusion</w:t>
      </w:r>
    </w:p>
    <w:p w:rsidR="00380415" w:rsidRPr="00977AC7" w:rsidRDefault="00CA3FCF" w:rsidP="00977AC7">
      <w:pPr>
        <w:spacing w:line="480" w:lineRule="auto"/>
        <w:ind w:firstLine="720"/>
        <w:jc w:val="both"/>
        <w:rPr>
          <w:rStyle w:val="acopre"/>
          <w:rFonts w:ascii="Times New Roman" w:hAnsi="Times New Roman" w:cs="Times New Roman"/>
          <w:sz w:val="24"/>
          <w:szCs w:val="24"/>
          <w:lang w:val="en-AU"/>
        </w:rPr>
      </w:pPr>
      <w:r w:rsidRPr="00977AC7">
        <w:rPr>
          <w:rStyle w:val="acopre"/>
          <w:rFonts w:ascii="Times New Roman" w:hAnsi="Times New Roman" w:cs="Times New Roman"/>
          <w:sz w:val="24"/>
          <w:szCs w:val="24"/>
          <w:lang w:val="en-AU"/>
        </w:rPr>
        <w:t xml:space="preserve">Social and health planning has been identified as integral in the fight against cancer in Australia. Given the high prevalence of this disease, effective planning offers a milestone that results in deliberate initiatives to meet the needs and influence behaviours in favour of prevention and effective treatment. Planning is a work-in-progress that looks ahead, involving diverse target groups to raise awareness and offer better care. Besides, emphasis has been on patient and family-centred approaches to motivate people-led conversations and behaviours, resulting in more </w:t>
      </w:r>
      <w:r w:rsidRPr="00977AC7">
        <w:rPr>
          <w:rStyle w:val="acopre"/>
          <w:rFonts w:ascii="Times New Roman" w:hAnsi="Times New Roman" w:cs="Times New Roman"/>
          <w:sz w:val="24"/>
          <w:szCs w:val="24"/>
          <w:lang w:val="en-AU"/>
        </w:rPr>
        <w:lastRenderedPageBreak/>
        <w:t>screening or better treatment of the disease. Additionally, since Australia is a multicultural society, practitioners need to embrace cultural awareness and safety and approach individuals and communities in the most appropriate ways. In finality, given the current status of cancer prevalent, there is a need for more aggressive planning at different levels and more in-depth engagement with individuals, families, and communities to ensure a better chance of fighting the disease</w:t>
      </w:r>
      <w:r w:rsidR="005B49A6" w:rsidRPr="00977AC7">
        <w:rPr>
          <w:rStyle w:val="acopre"/>
          <w:rFonts w:ascii="Times New Roman" w:hAnsi="Times New Roman" w:cs="Times New Roman"/>
          <w:sz w:val="24"/>
          <w:szCs w:val="24"/>
          <w:lang w:val="en-AU"/>
        </w:rPr>
        <w:t xml:space="preserve">. </w:t>
      </w:r>
    </w:p>
    <w:p w:rsidR="005B49A6" w:rsidRPr="00977AC7" w:rsidRDefault="005B49A6"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626E1F" w:rsidRPr="00977AC7" w:rsidRDefault="00626E1F" w:rsidP="00977AC7">
      <w:pPr>
        <w:spacing w:line="480" w:lineRule="auto"/>
        <w:jc w:val="both"/>
        <w:rPr>
          <w:rStyle w:val="acopre"/>
          <w:rFonts w:ascii="Times New Roman" w:hAnsi="Times New Roman" w:cs="Times New Roman"/>
          <w:sz w:val="24"/>
          <w:szCs w:val="24"/>
          <w:lang w:val="en-AU"/>
        </w:rPr>
      </w:pPr>
    </w:p>
    <w:p w:rsidR="005B49A6" w:rsidRPr="00977AC7" w:rsidRDefault="005B49A6" w:rsidP="00977AC7">
      <w:pPr>
        <w:spacing w:line="276" w:lineRule="auto"/>
        <w:jc w:val="center"/>
        <w:rPr>
          <w:rFonts w:ascii="Times New Roman" w:hAnsi="Times New Roman" w:cs="Times New Roman"/>
          <w:b/>
          <w:sz w:val="24"/>
          <w:szCs w:val="24"/>
          <w:lang w:val="en-AU"/>
        </w:rPr>
      </w:pPr>
      <w:r w:rsidRPr="00977AC7">
        <w:rPr>
          <w:rFonts w:ascii="Times New Roman" w:hAnsi="Times New Roman" w:cs="Times New Roman"/>
          <w:b/>
          <w:sz w:val="24"/>
          <w:szCs w:val="24"/>
          <w:lang w:val="en-AU"/>
        </w:rPr>
        <w:lastRenderedPageBreak/>
        <w:t>References</w:t>
      </w:r>
    </w:p>
    <w:p w:rsidR="00B31A79" w:rsidRPr="00977AC7" w:rsidRDefault="00B31A79"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hAnsi="Times New Roman" w:cs="Times New Roman"/>
          <w:sz w:val="24"/>
          <w:szCs w:val="24"/>
          <w:lang w:val="en-AU"/>
        </w:rPr>
        <w:t>Chynoweth</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J</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McCambridge</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M</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Zorbas</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H</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et al. </w:t>
      </w:r>
      <w:r w:rsidR="00471D55" w:rsidRPr="00977AC7">
        <w:rPr>
          <w:rFonts w:ascii="Times New Roman" w:hAnsi="Times New Roman" w:cs="Times New Roman"/>
          <w:sz w:val="24"/>
          <w:szCs w:val="24"/>
          <w:lang w:val="en-AU"/>
        </w:rPr>
        <w:t xml:space="preserve">(2020). </w:t>
      </w:r>
      <w:r w:rsidRPr="00977AC7">
        <w:rPr>
          <w:rFonts w:ascii="Times New Roman" w:hAnsi="Times New Roman" w:cs="Times New Roman"/>
          <w:sz w:val="24"/>
          <w:szCs w:val="24"/>
          <w:lang w:val="en-AU"/>
        </w:rPr>
        <w:t>Optimal Cancer Care</w:t>
      </w:r>
      <w:bookmarkStart w:id="0" w:name="_GoBack"/>
      <w:bookmarkEnd w:id="0"/>
      <w:r w:rsidRPr="00977AC7">
        <w:rPr>
          <w:rFonts w:ascii="Times New Roman" w:hAnsi="Times New Roman" w:cs="Times New Roman"/>
          <w:sz w:val="24"/>
          <w:szCs w:val="24"/>
          <w:lang w:val="en-AU"/>
        </w:rPr>
        <w:t xml:space="preserve"> for Aboriginal and Torres Strait Islander People: A Shared Approach to System Level Change. </w:t>
      </w:r>
      <w:r w:rsidRPr="00977AC7">
        <w:rPr>
          <w:rFonts w:ascii="Times New Roman" w:hAnsi="Times New Roman" w:cs="Times New Roman"/>
          <w:i/>
          <w:iCs/>
          <w:sz w:val="24"/>
          <w:szCs w:val="24"/>
          <w:lang w:val="en-AU"/>
        </w:rPr>
        <w:t xml:space="preserve">JCO Glob </w:t>
      </w:r>
      <w:r w:rsidR="0005277D" w:rsidRPr="00977AC7">
        <w:rPr>
          <w:rFonts w:ascii="Times New Roman" w:hAnsi="Times New Roman" w:cs="Times New Roman"/>
          <w:i/>
          <w:iCs/>
          <w:sz w:val="24"/>
          <w:szCs w:val="24"/>
          <w:lang w:val="en-AU"/>
        </w:rPr>
        <w:t>Oncol</w:t>
      </w:r>
      <w:r w:rsidR="0005277D" w:rsidRPr="00977AC7">
        <w:rPr>
          <w:rFonts w:ascii="Times New Roman" w:hAnsi="Times New Roman" w:cs="Times New Roman"/>
          <w:i/>
          <w:sz w:val="24"/>
          <w:szCs w:val="24"/>
          <w:lang w:val="en-AU"/>
        </w:rPr>
        <w:t>,</w:t>
      </w:r>
      <w:r w:rsidR="00471D55" w:rsidRPr="00977AC7">
        <w:rPr>
          <w:rFonts w:ascii="Times New Roman" w:hAnsi="Times New Roman" w:cs="Times New Roman"/>
          <w:i/>
          <w:sz w:val="24"/>
          <w:szCs w:val="24"/>
          <w:lang w:val="en-AU"/>
        </w:rPr>
        <w:t xml:space="preserve"> 6</w:t>
      </w:r>
      <w:r w:rsidR="00471D55" w:rsidRPr="00977AC7">
        <w:rPr>
          <w:rFonts w:ascii="Times New Roman" w:hAnsi="Times New Roman" w:cs="Times New Roman"/>
          <w:sz w:val="24"/>
          <w:szCs w:val="24"/>
          <w:lang w:val="en-AU"/>
        </w:rPr>
        <w:t xml:space="preserve">, </w:t>
      </w:r>
      <w:r w:rsidRPr="00977AC7">
        <w:rPr>
          <w:rFonts w:ascii="Times New Roman" w:hAnsi="Times New Roman" w:cs="Times New Roman"/>
          <w:sz w:val="24"/>
          <w:szCs w:val="24"/>
          <w:lang w:val="en-AU"/>
        </w:rPr>
        <w:t xml:space="preserve">108-114. </w:t>
      </w:r>
      <w:r w:rsidR="00471D55" w:rsidRPr="00977AC7">
        <w:rPr>
          <w:rFonts w:ascii="Times New Roman" w:hAnsi="Times New Roman" w:cs="Times New Roman"/>
          <w:sz w:val="24"/>
          <w:szCs w:val="24"/>
          <w:lang w:val="en-AU"/>
        </w:rPr>
        <w:t>D</w:t>
      </w:r>
      <w:r w:rsidRPr="00977AC7">
        <w:rPr>
          <w:rFonts w:ascii="Times New Roman" w:hAnsi="Times New Roman" w:cs="Times New Roman"/>
          <w:sz w:val="24"/>
          <w:szCs w:val="24"/>
          <w:lang w:val="en-AU"/>
        </w:rPr>
        <w:t>oi:10.1200/JGO.19.00076</w:t>
      </w:r>
    </w:p>
    <w:p w:rsidR="00A23AEC" w:rsidRPr="00977AC7" w:rsidRDefault="00A23AEC"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hAnsi="Times New Roman" w:cs="Times New Roman"/>
          <w:sz w:val="24"/>
          <w:szCs w:val="24"/>
          <w:lang w:val="en-AU"/>
        </w:rPr>
        <w:t xml:space="preserve">Detering, K. M., Buck, K., Ruseckaite, R., Kelly, H., Sellars, M., Sinclair, C., … Nolte, L. (2019). Prevalence and correlates of advance care directives among older Australians accessing health and residential aged care services: multicentre audit study. </w:t>
      </w:r>
      <w:r w:rsidRPr="00977AC7">
        <w:rPr>
          <w:rFonts w:ascii="Times New Roman" w:hAnsi="Times New Roman" w:cs="Times New Roman"/>
          <w:i/>
          <w:sz w:val="24"/>
          <w:szCs w:val="24"/>
          <w:lang w:val="en-AU"/>
        </w:rPr>
        <w:t>BMJ Open, 9</w:t>
      </w:r>
      <w:r w:rsidR="0005277D" w:rsidRPr="00977AC7">
        <w:rPr>
          <w:rFonts w:ascii="Times New Roman" w:hAnsi="Times New Roman" w:cs="Times New Roman"/>
          <w:i/>
          <w:sz w:val="24"/>
          <w:szCs w:val="24"/>
          <w:lang w:val="en-AU"/>
        </w:rPr>
        <w:t xml:space="preserve"> </w:t>
      </w:r>
      <w:r w:rsidRPr="00977AC7">
        <w:rPr>
          <w:rFonts w:ascii="Times New Roman" w:hAnsi="Times New Roman" w:cs="Times New Roman"/>
          <w:sz w:val="24"/>
          <w:szCs w:val="24"/>
          <w:lang w:val="en-AU"/>
        </w:rPr>
        <w:t xml:space="preserve">(1), e025255. </w:t>
      </w:r>
      <w:r w:rsidR="00471D55" w:rsidRPr="00977AC7">
        <w:rPr>
          <w:rFonts w:ascii="Times New Roman" w:hAnsi="Times New Roman" w:cs="Times New Roman"/>
          <w:sz w:val="24"/>
          <w:szCs w:val="24"/>
          <w:lang w:val="en-AU"/>
        </w:rPr>
        <w:t>D</w:t>
      </w:r>
      <w:r w:rsidRPr="00977AC7">
        <w:rPr>
          <w:rFonts w:ascii="Times New Roman" w:hAnsi="Times New Roman" w:cs="Times New Roman"/>
          <w:sz w:val="24"/>
          <w:szCs w:val="24"/>
          <w:lang w:val="en-AU"/>
        </w:rPr>
        <w:t>oi</w:t>
      </w:r>
      <w:r w:rsidR="0005277D" w:rsidRPr="00977AC7">
        <w:rPr>
          <w:rFonts w:ascii="Times New Roman" w:hAnsi="Times New Roman" w:cs="Times New Roman"/>
          <w:sz w:val="24"/>
          <w:szCs w:val="24"/>
          <w:lang w:val="en-AU"/>
        </w:rPr>
        <w:t>: 10.1136</w:t>
      </w:r>
      <w:r w:rsidRPr="00977AC7">
        <w:rPr>
          <w:rFonts w:ascii="Times New Roman" w:hAnsi="Times New Roman" w:cs="Times New Roman"/>
          <w:sz w:val="24"/>
          <w:szCs w:val="24"/>
          <w:lang w:val="en-AU"/>
        </w:rPr>
        <w:t xml:space="preserve">/bmjopen-2018-025255 </w:t>
      </w:r>
    </w:p>
    <w:p w:rsidR="0015686A" w:rsidRPr="00977AC7" w:rsidRDefault="0015686A"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hAnsi="Times New Roman" w:cs="Times New Roman"/>
          <w:sz w:val="24"/>
          <w:szCs w:val="24"/>
          <w:lang w:val="en-AU"/>
        </w:rPr>
        <w:t xml:space="preserve">Frakking, T., Michaels, S., Orbell-Smith, J., &amp; Le Ray, L. (2020). </w:t>
      </w:r>
      <w:r w:rsidRPr="00977AC7">
        <w:rPr>
          <w:rFonts w:ascii="Times New Roman" w:hAnsi="Times New Roman" w:cs="Times New Roman"/>
          <w:iCs/>
          <w:sz w:val="24"/>
          <w:szCs w:val="24"/>
          <w:lang w:val="en-AU"/>
        </w:rPr>
        <w:t>Framework for patient, family-centred care within an Australian Community Hospital: development and description</w:t>
      </w:r>
      <w:r w:rsidRPr="00977AC7">
        <w:rPr>
          <w:rFonts w:ascii="Times New Roman" w:hAnsi="Times New Roman" w:cs="Times New Roman"/>
          <w:i/>
          <w:iCs/>
          <w:sz w:val="24"/>
          <w:szCs w:val="24"/>
          <w:lang w:val="en-AU"/>
        </w:rPr>
        <w:t>. BMJ Open Quality, 9</w:t>
      </w:r>
      <w:r w:rsidR="0005277D" w:rsidRPr="00977AC7">
        <w:rPr>
          <w:rFonts w:ascii="Times New Roman" w:hAnsi="Times New Roman" w:cs="Times New Roman"/>
          <w:i/>
          <w:iCs/>
          <w:sz w:val="24"/>
          <w:szCs w:val="24"/>
          <w:lang w:val="en-AU"/>
        </w:rPr>
        <w:t xml:space="preserve"> </w:t>
      </w:r>
      <w:r w:rsidRPr="00977AC7">
        <w:rPr>
          <w:rFonts w:ascii="Times New Roman" w:hAnsi="Times New Roman" w:cs="Times New Roman"/>
          <w:iCs/>
          <w:sz w:val="24"/>
          <w:szCs w:val="24"/>
          <w:lang w:val="en-AU"/>
        </w:rPr>
        <w:t>(2), e000823.</w:t>
      </w:r>
      <w:r w:rsidRPr="00977AC7">
        <w:rPr>
          <w:rFonts w:ascii="Times New Roman" w:hAnsi="Times New Roman" w:cs="Times New Roman"/>
          <w:sz w:val="24"/>
          <w:szCs w:val="24"/>
          <w:lang w:val="en-AU"/>
        </w:rPr>
        <w:t xml:space="preserve"> </w:t>
      </w:r>
      <w:r w:rsidR="00471D55" w:rsidRPr="00977AC7">
        <w:rPr>
          <w:rFonts w:ascii="Times New Roman" w:hAnsi="Times New Roman" w:cs="Times New Roman"/>
          <w:sz w:val="24"/>
          <w:szCs w:val="24"/>
          <w:lang w:val="en-AU"/>
        </w:rPr>
        <w:t>D</w:t>
      </w:r>
      <w:r w:rsidRPr="00977AC7">
        <w:rPr>
          <w:rFonts w:ascii="Times New Roman" w:hAnsi="Times New Roman" w:cs="Times New Roman"/>
          <w:sz w:val="24"/>
          <w:szCs w:val="24"/>
          <w:lang w:val="en-AU"/>
        </w:rPr>
        <w:t>oi</w:t>
      </w:r>
      <w:r w:rsidR="0005277D" w:rsidRPr="00977AC7">
        <w:rPr>
          <w:rFonts w:ascii="Times New Roman" w:hAnsi="Times New Roman" w:cs="Times New Roman"/>
          <w:sz w:val="24"/>
          <w:szCs w:val="24"/>
          <w:lang w:val="en-AU"/>
        </w:rPr>
        <w:t>: 10.1136</w:t>
      </w:r>
      <w:r w:rsidRPr="00977AC7">
        <w:rPr>
          <w:rFonts w:ascii="Times New Roman" w:hAnsi="Times New Roman" w:cs="Times New Roman"/>
          <w:sz w:val="24"/>
          <w:szCs w:val="24"/>
          <w:lang w:val="en-AU"/>
        </w:rPr>
        <w:t>/bmjoq-2019-000823 </w:t>
      </w:r>
    </w:p>
    <w:p w:rsidR="00B31A79" w:rsidRPr="00977AC7" w:rsidRDefault="00471D55"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hAnsi="Times New Roman" w:cs="Times New Roman"/>
          <w:sz w:val="24"/>
          <w:szCs w:val="24"/>
          <w:lang w:val="en-AU"/>
        </w:rPr>
        <w:t xml:space="preserve">Goldsbury, </w:t>
      </w:r>
      <w:r w:rsidR="00B31A79" w:rsidRPr="00977AC7">
        <w:rPr>
          <w:rFonts w:ascii="Times New Roman" w:hAnsi="Times New Roman" w:cs="Times New Roman"/>
          <w:sz w:val="24"/>
          <w:szCs w:val="24"/>
          <w:lang w:val="en-AU"/>
        </w:rPr>
        <w:t>E</w:t>
      </w:r>
      <w:r w:rsidRPr="00977AC7">
        <w:rPr>
          <w:rFonts w:ascii="Times New Roman" w:hAnsi="Times New Roman" w:cs="Times New Roman"/>
          <w:sz w:val="24"/>
          <w:szCs w:val="24"/>
          <w:lang w:val="en-AU"/>
        </w:rPr>
        <w:t>.</w:t>
      </w:r>
      <w:r w:rsidR="00B31A79" w:rsidRPr="00977AC7">
        <w:rPr>
          <w:rFonts w:ascii="Times New Roman" w:hAnsi="Times New Roman" w:cs="Times New Roman"/>
          <w:sz w:val="24"/>
          <w:szCs w:val="24"/>
          <w:lang w:val="en-AU"/>
        </w:rPr>
        <w:t>, Yap</w:t>
      </w:r>
      <w:r w:rsidRPr="00977AC7">
        <w:rPr>
          <w:rFonts w:ascii="Times New Roman" w:hAnsi="Times New Roman" w:cs="Times New Roman"/>
          <w:sz w:val="24"/>
          <w:szCs w:val="24"/>
          <w:lang w:val="en-AU"/>
        </w:rPr>
        <w:t>,</w:t>
      </w:r>
      <w:r w:rsidR="00B31A79" w:rsidRPr="00977AC7">
        <w:rPr>
          <w:rFonts w:ascii="Times New Roman" w:hAnsi="Times New Roman" w:cs="Times New Roman"/>
          <w:sz w:val="24"/>
          <w:szCs w:val="24"/>
          <w:lang w:val="en-AU"/>
        </w:rPr>
        <w:t xml:space="preserve"> S</w:t>
      </w:r>
      <w:r w:rsidRPr="00977AC7">
        <w:rPr>
          <w:rFonts w:ascii="Times New Roman" w:hAnsi="Times New Roman" w:cs="Times New Roman"/>
          <w:sz w:val="24"/>
          <w:szCs w:val="24"/>
          <w:lang w:val="en-AU"/>
        </w:rPr>
        <w:t>.</w:t>
      </w:r>
      <w:r w:rsidR="00B31A79" w:rsidRPr="00977AC7">
        <w:rPr>
          <w:rFonts w:ascii="Times New Roman" w:hAnsi="Times New Roman" w:cs="Times New Roman"/>
          <w:sz w:val="24"/>
          <w:szCs w:val="24"/>
          <w:lang w:val="en-AU"/>
        </w:rPr>
        <w:t>, Weber</w:t>
      </w:r>
      <w:r w:rsidRPr="00977AC7">
        <w:rPr>
          <w:rFonts w:ascii="Times New Roman" w:hAnsi="Times New Roman" w:cs="Times New Roman"/>
          <w:sz w:val="24"/>
          <w:szCs w:val="24"/>
          <w:lang w:val="en-AU"/>
        </w:rPr>
        <w:t>,</w:t>
      </w:r>
      <w:r w:rsidR="00B31A79" w:rsidRPr="00977AC7">
        <w:rPr>
          <w:rFonts w:ascii="Times New Roman" w:hAnsi="Times New Roman" w:cs="Times New Roman"/>
          <w:sz w:val="24"/>
          <w:szCs w:val="24"/>
          <w:lang w:val="en-AU"/>
        </w:rPr>
        <w:t xml:space="preserve"> M</w:t>
      </w:r>
      <w:r w:rsidRPr="00977AC7">
        <w:rPr>
          <w:rFonts w:ascii="Times New Roman" w:hAnsi="Times New Roman" w:cs="Times New Roman"/>
          <w:sz w:val="24"/>
          <w:szCs w:val="24"/>
          <w:lang w:val="en-AU"/>
        </w:rPr>
        <w:t>.</w:t>
      </w:r>
      <w:r w:rsidR="00B31A79" w:rsidRPr="00977AC7">
        <w:rPr>
          <w:rFonts w:ascii="Times New Roman" w:hAnsi="Times New Roman" w:cs="Times New Roman"/>
          <w:sz w:val="24"/>
          <w:szCs w:val="24"/>
          <w:lang w:val="en-AU"/>
        </w:rPr>
        <w:t xml:space="preserve">, et al. </w:t>
      </w:r>
      <w:r w:rsidRPr="00977AC7">
        <w:rPr>
          <w:rFonts w:ascii="Times New Roman" w:hAnsi="Times New Roman" w:cs="Times New Roman"/>
          <w:sz w:val="24"/>
          <w:szCs w:val="24"/>
          <w:lang w:val="en-AU"/>
        </w:rPr>
        <w:t xml:space="preserve">(2018). </w:t>
      </w:r>
      <w:r w:rsidR="00B31A79" w:rsidRPr="00977AC7">
        <w:rPr>
          <w:rFonts w:ascii="Times New Roman" w:hAnsi="Times New Roman" w:cs="Times New Roman"/>
          <w:sz w:val="24"/>
          <w:szCs w:val="24"/>
          <w:lang w:val="en-AU"/>
        </w:rPr>
        <w:t xml:space="preserve">Health services costs for cancer care in Australia: Estimates from the 45 and Up Study. </w:t>
      </w:r>
      <w:r w:rsidR="00B31A79" w:rsidRPr="00977AC7">
        <w:rPr>
          <w:rFonts w:ascii="Times New Roman" w:hAnsi="Times New Roman" w:cs="Times New Roman"/>
          <w:i/>
          <w:iCs/>
          <w:sz w:val="24"/>
          <w:szCs w:val="24"/>
          <w:lang w:val="en-AU"/>
        </w:rPr>
        <w:t>PLoS One</w:t>
      </w:r>
      <w:r w:rsidRPr="00977AC7">
        <w:rPr>
          <w:rFonts w:ascii="Times New Roman" w:hAnsi="Times New Roman" w:cs="Times New Roman"/>
          <w:sz w:val="24"/>
          <w:szCs w:val="24"/>
          <w:lang w:val="en-AU"/>
        </w:rPr>
        <w:t xml:space="preserve">, </w:t>
      </w:r>
      <w:r w:rsidR="00B31A79" w:rsidRPr="00977AC7">
        <w:rPr>
          <w:rFonts w:ascii="Times New Roman" w:hAnsi="Times New Roman" w:cs="Times New Roman"/>
          <w:i/>
          <w:sz w:val="24"/>
          <w:szCs w:val="24"/>
          <w:lang w:val="en-AU"/>
        </w:rPr>
        <w:t>13</w:t>
      </w:r>
      <w:r w:rsidR="00B31A79" w:rsidRPr="00977AC7">
        <w:rPr>
          <w:rFonts w:ascii="Times New Roman" w:hAnsi="Times New Roman" w:cs="Times New Roman"/>
          <w:sz w:val="24"/>
          <w:szCs w:val="24"/>
          <w:lang w:val="en-AU"/>
        </w:rPr>
        <w:t xml:space="preserve">(7):e0201552. </w:t>
      </w:r>
      <w:r w:rsidRPr="00977AC7">
        <w:rPr>
          <w:rFonts w:ascii="Times New Roman" w:hAnsi="Times New Roman" w:cs="Times New Roman"/>
          <w:sz w:val="24"/>
          <w:szCs w:val="24"/>
          <w:lang w:val="en-AU"/>
        </w:rPr>
        <w:t>D</w:t>
      </w:r>
      <w:r w:rsidR="00B31A79" w:rsidRPr="00977AC7">
        <w:rPr>
          <w:rFonts w:ascii="Times New Roman" w:hAnsi="Times New Roman" w:cs="Times New Roman"/>
          <w:sz w:val="24"/>
          <w:szCs w:val="24"/>
          <w:lang w:val="en-AU"/>
        </w:rPr>
        <w:t>oi:10.1371/journal.pone.0201552</w:t>
      </w:r>
    </w:p>
    <w:p w:rsidR="00471D55" w:rsidRPr="00977AC7" w:rsidRDefault="00471D55"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hAnsi="Times New Roman" w:cs="Times New Roman"/>
          <w:sz w:val="24"/>
          <w:szCs w:val="24"/>
          <w:lang w:val="en-AU"/>
        </w:rPr>
        <w:t xml:space="preserve">Johnson, S., Butow, P., Kerridge, I., Tattersall, M. (2015). Advance care planning for cancer patients: A systematic review of perceptions and experiences of patients, families and healthcare providers, Psycho-Oncology, first published online: 20 SEP 2015. DOI: 10.1002/pon.3926 </w:t>
      </w:r>
    </w:p>
    <w:p w:rsidR="00246349" w:rsidRPr="00977AC7" w:rsidRDefault="00263C24"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hAnsi="Times New Roman" w:cs="Times New Roman"/>
          <w:sz w:val="24"/>
          <w:szCs w:val="24"/>
          <w:lang w:val="en-AU"/>
        </w:rPr>
        <w:t>Manafò</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E</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Petermann</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L</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Vandall-Walker</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V</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w:t>
      </w:r>
      <w:r w:rsidR="00471D55" w:rsidRPr="00977AC7">
        <w:rPr>
          <w:rFonts w:ascii="Times New Roman" w:hAnsi="Times New Roman" w:cs="Times New Roman"/>
          <w:sz w:val="24"/>
          <w:szCs w:val="24"/>
          <w:lang w:val="en-AU"/>
        </w:rPr>
        <w:t xml:space="preserve">and </w:t>
      </w:r>
      <w:r w:rsidRPr="00977AC7">
        <w:rPr>
          <w:rFonts w:ascii="Times New Roman" w:hAnsi="Times New Roman" w:cs="Times New Roman"/>
          <w:sz w:val="24"/>
          <w:szCs w:val="24"/>
          <w:lang w:val="en-AU"/>
        </w:rPr>
        <w:t>Mason-Lai</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P</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(2018)</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Patient and public engagement in priority setting: A systematic rapid review of the literature. </w:t>
      </w:r>
      <w:r w:rsidRPr="00977AC7">
        <w:rPr>
          <w:rFonts w:ascii="Times New Roman" w:hAnsi="Times New Roman" w:cs="Times New Roman"/>
          <w:i/>
          <w:sz w:val="24"/>
          <w:szCs w:val="24"/>
          <w:lang w:val="en-AU"/>
        </w:rPr>
        <w:t>PLoS ONE 13</w:t>
      </w:r>
      <w:r w:rsidRPr="00977AC7">
        <w:rPr>
          <w:rFonts w:ascii="Times New Roman" w:hAnsi="Times New Roman" w:cs="Times New Roman"/>
          <w:sz w:val="24"/>
          <w:szCs w:val="24"/>
          <w:lang w:val="en-AU"/>
        </w:rPr>
        <w:t xml:space="preserve">(3): e0193579. </w:t>
      </w:r>
      <w:hyperlink r:id="rId12" w:history="1">
        <w:r w:rsidRPr="00977AC7">
          <w:rPr>
            <w:rStyle w:val="Hyperlink"/>
            <w:rFonts w:ascii="Times New Roman" w:hAnsi="Times New Roman" w:cs="Times New Roman"/>
            <w:color w:val="auto"/>
            <w:sz w:val="24"/>
            <w:szCs w:val="24"/>
            <w:u w:val="none"/>
            <w:lang w:val="en-AU"/>
          </w:rPr>
          <w:t>https://doi.org/10.1371/journal.pone.0193579</w:t>
        </w:r>
      </w:hyperlink>
    </w:p>
    <w:p w:rsidR="00A23AEC" w:rsidRPr="00977AC7" w:rsidRDefault="00A23AEC"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hAnsi="Times New Roman" w:cs="Times New Roman"/>
          <w:sz w:val="24"/>
          <w:szCs w:val="24"/>
          <w:lang w:val="en-AU"/>
        </w:rPr>
        <w:t xml:space="preserve">Meiklejohn, J. A., Arley, B., Bailie, R., Adams, J., Garvey, G., Martin, J. H., … Valery, P. C. (2018). </w:t>
      </w:r>
      <w:r w:rsidRPr="00977AC7">
        <w:rPr>
          <w:rFonts w:ascii="Times New Roman" w:hAnsi="Times New Roman" w:cs="Times New Roman"/>
          <w:iCs/>
          <w:sz w:val="24"/>
          <w:szCs w:val="24"/>
          <w:lang w:val="en-AU"/>
        </w:rPr>
        <w:t xml:space="preserve">Community-identified recommendations to enhance cancer survivorship </w:t>
      </w:r>
      <w:r w:rsidRPr="00977AC7">
        <w:rPr>
          <w:rFonts w:ascii="Times New Roman" w:hAnsi="Times New Roman" w:cs="Times New Roman"/>
          <w:iCs/>
          <w:sz w:val="24"/>
          <w:szCs w:val="24"/>
          <w:lang w:val="en-AU"/>
        </w:rPr>
        <w:lastRenderedPageBreak/>
        <w:t>for Aboriginal and Torres Strait Islander people</w:t>
      </w:r>
      <w:r w:rsidRPr="00977AC7">
        <w:rPr>
          <w:rFonts w:ascii="Times New Roman" w:hAnsi="Times New Roman" w:cs="Times New Roman"/>
          <w:i/>
          <w:iCs/>
          <w:sz w:val="24"/>
          <w:szCs w:val="24"/>
          <w:lang w:val="en-AU"/>
        </w:rPr>
        <w:t>. Australian Journal of Primary Health, 24</w:t>
      </w:r>
      <w:r w:rsidRPr="00977AC7">
        <w:rPr>
          <w:rFonts w:ascii="Times New Roman" w:hAnsi="Times New Roman" w:cs="Times New Roman"/>
          <w:iCs/>
          <w:sz w:val="24"/>
          <w:szCs w:val="24"/>
          <w:lang w:val="en-AU"/>
        </w:rPr>
        <w:t>(3), 233</w:t>
      </w:r>
      <w:r w:rsidR="00471D55" w:rsidRPr="00977AC7">
        <w:rPr>
          <w:rFonts w:ascii="Times New Roman" w:hAnsi="Times New Roman" w:cs="Times New Roman"/>
          <w:iCs/>
          <w:sz w:val="24"/>
          <w:szCs w:val="24"/>
          <w:lang w:val="en-AU"/>
        </w:rPr>
        <w:t>-254</w:t>
      </w:r>
      <w:r w:rsidRPr="00977AC7">
        <w:rPr>
          <w:rFonts w:ascii="Times New Roman" w:hAnsi="Times New Roman" w:cs="Times New Roman"/>
          <w:i/>
          <w:iCs/>
          <w:sz w:val="24"/>
          <w:szCs w:val="24"/>
          <w:lang w:val="en-AU"/>
        </w:rPr>
        <w:t>.</w:t>
      </w:r>
      <w:r w:rsidR="00471D55" w:rsidRPr="00977AC7">
        <w:rPr>
          <w:rFonts w:ascii="Times New Roman" w:hAnsi="Times New Roman" w:cs="Times New Roman"/>
          <w:sz w:val="24"/>
          <w:szCs w:val="24"/>
          <w:lang w:val="en-AU"/>
        </w:rPr>
        <w:t xml:space="preserve"> D</w:t>
      </w:r>
      <w:r w:rsidRPr="00977AC7">
        <w:rPr>
          <w:rFonts w:ascii="Times New Roman" w:hAnsi="Times New Roman" w:cs="Times New Roman"/>
          <w:sz w:val="24"/>
          <w:szCs w:val="24"/>
          <w:lang w:val="en-AU"/>
        </w:rPr>
        <w:t>oi</w:t>
      </w:r>
      <w:r w:rsidR="00F936D7" w:rsidRPr="00977AC7">
        <w:rPr>
          <w:rFonts w:ascii="Times New Roman" w:hAnsi="Times New Roman" w:cs="Times New Roman"/>
          <w:sz w:val="24"/>
          <w:szCs w:val="24"/>
          <w:lang w:val="en-AU"/>
        </w:rPr>
        <w:t>: 10.1071</w:t>
      </w:r>
      <w:r w:rsidRPr="00977AC7">
        <w:rPr>
          <w:rFonts w:ascii="Times New Roman" w:hAnsi="Times New Roman" w:cs="Times New Roman"/>
          <w:sz w:val="24"/>
          <w:szCs w:val="24"/>
          <w:lang w:val="en-AU"/>
        </w:rPr>
        <w:t>/py17127 </w:t>
      </w:r>
    </w:p>
    <w:p w:rsidR="00246349" w:rsidRPr="00977AC7" w:rsidRDefault="00246349" w:rsidP="00977AC7">
      <w:pPr>
        <w:spacing w:after="0" w:line="480" w:lineRule="auto"/>
        <w:ind w:left="1440" w:hanging="1440"/>
        <w:jc w:val="both"/>
        <w:rPr>
          <w:rFonts w:ascii="Times New Roman" w:eastAsia="Times New Roman" w:hAnsi="Times New Roman" w:cs="Times New Roman"/>
          <w:sz w:val="24"/>
          <w:szCs w:val="24"/>
          <w:lang w:val="en-AU"/>
        </w:rPr>
      </w:pPr>
      <w:r w:rsidRPr="00977AC7">
        <w:rPr>
          <w:rFonts w:ascii="Times New Roman" w:eastAsia="Times New Roman" w:hAnsi="Times New Roman" w:cs="Times New Roman"/>
          <w:sz w:val="24"/>
          <w:szCs w:val="24"/>
          <w:lang w:val="en-AU"/>
        </w:rPr>
        <w:t>Michael</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xml:space="preserve"> N</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O'Callaghan</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xml:space="preserve"> C</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Baird</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xml:space="preserve"> A</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Hiscock</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xml:space="preserve"> N</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xml:space="preserve">, </w:t>
      </w:r>
      <w:r w:rsidR="00471D55" w:rsidRPr="00977AC7">
        <w:rPr>
          <w:rFonts w:ascii="Times New Roman" w:eastAsia="Times New Roman" w:hAnsi="Times New Roman" w:cs="Times New Roman"/>
          <w:sz w:val="24"/>
          <w:szCs w:val="24"/>
          <w:lang w:val="en-AU"/>
        </w:rPr>
        <w:t xml:space="preserve">and </w:t>
      </w:r>
      <w:r w:rsidRPr="00977AC7">
        <w:rPr>
          <w:rFonts w:ascii="Times New Roman" w:eastAsia="Times New Roman" w:hAnsi="Times New Roman" w:cs="Times New Roman"/>
          <w:sz w:val="24"/>
          <w:szCs w:val="24"/>
          <w:lang w:val="en-AU"/>
        </w:rPr>
        <w:t>Clayton</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xml:space="preserve"> J. </w:t>
      </w:r>
      <w:r w:rsidR="00471D55" w:rsidRPr="00977AC7">
        <w:rPr>
          <w:rFonts w:ascii="Times New Roman" w:eastAsia="Times New Roman" w:hAnsi="Times New Roman" w:cs="Times New Roman"/>
          <w:sz w:val="24"/>
          <w:szCs w:val="24"/>
          <w:lang w:val="en-AU"/>
        </w:rPr>
        <w:t xml:space="preserve">(2014). </w:t>
      </w:r>
      <w:r w:rsidRPr="00977AC7">
        <w:rPr>
          <w:rFonts w:ascii="Times New Roman" w:eastAsia="Times New Roman" w:hAnsi="Times New Roman" w:cs="Times New Roman"/>
          <w:sz w:val="24"/>
          <w:szCs w:val="24"/>
          <w:lang w:val="en-AU"/>
        </w:rPr>
        <w:t>Cancer caregivers advocate a patient- and family-</w:t>
      </w:r>
      <w:r w:rsidR="00F936D7" w:rsidRPr="00977AC7">
        <w:rPr>
          <w:rFonts w:ascii="Times New Roman" w:eastAsia="Times New Roman" w:hAnsi="Times New Roman" w:cs="Times New Roman"/>
          <w:sz w:val="24"/>
          <w:szCs w:val="24"/>
          <w:lang w:val="en-AU"/>
        </w:rPr>
        <w:t>centred</w:t>
      </w:r>
      <w:r w:rsidRPr="00977AC7">
        <w:rPr>
          <w:rFonts w:ascii="Times New Roman" w:eastAsia="Times New Roman" w:hAnsi="Times New Roman" w:cs="Times New Roman"/>
          <w:sz w:val="24"/>
          <w:szCs w:val="24"/>
          <w:lang w:val="en-AU"/>
        </w:rPr>
        <w:t xml:space="preserve"> approach to advance care planning. </w:t>
      </w:r>
      <w:r w:rsidRPr="00977AC7">
        <w:rPr>
          <w:rFonts w:ascii="Times New Roman" w:eastAsia="Times New Roman" w:hAnsi="Times New Roman" w:cs="Times New Roman"/>
          <w:i/>
          <w:sz w:val="24"/>
          <w:szCs w:val="24"/>
          <w:lang w:val="en-AU"/>
        </w:rPr>
        <w:t>J Pa</w:t>
      </w:r>
      <w:r w:rsidR="00471D55" w:rsidRPr="00977AC7">
        <w:rPr>
          <w:rFonts w:ascii="Times New Roman" w:eastAsia="Times New Roman" w:hAnsi="Times New Roman" w:cs="Times New Roman"/>
          <w:i/>
          <w:sz w:val="24"/>
          <w:szCs w:val="24"/>
          <w:lang w:val="en-AU"/>
        </w:rPr>
        <w:t xml:space="preserve">in Symptom Manage, </w:t>
      </w:r>
      <w:r w:rsidRPr="00977AC7">
        <w:rPr>
          <w:rFonts w:ascii="Times New Roman" w:eastAsia="Times New Roman" w:hAnsi="Times New Roman" w:cs="Times New Roman"/>
          <w:i/>
          <w:sz w:val="24"/>
          <w:szCs w:val="24"/>
          <w:lang w:val="en-AU"/>
        </w:rPr>
        <w:t>47</w:t>
      </w:r>
      <w:r w:rsidRPr="00977AC7">
        <w:rPr>
          <w:rFonts w:ascii="Times New Roman" w:eastAsia="Times New Roman" w:hAnsi="Times New Roman" w:cs="Times New Roman"/>
          <w:sz w:val="24"/>
          <w:szCs w:val="24"/>
          <w:lang w:val="en-AU"/>
        </w:rPr>
        <w:t xml:space="preserve">(6):1064-77. </w:t>
      </w:r>
      <w:r w:rsidR="00F936D7" w:rsidRPr="00977AC7">
        <w:rPr>
          <w:rFonts w:ascii="Times New Roman" w:eastAsia="Times New Roman" w:hAnsi="Times New Roman" w:cs="Times New Roman"/>
          <w:sz w:val="24"/>
          <w:szCs w:val="24"/>
          <w:lang w:val="en-AU"/>
        </w:rPr>
        <w:t>Doi</w:t>
      </w:r>
      <w:r w:rsidRPr="00977AC7">
        <w:rPr>
          <w:rFonts w:ascii="Times New Roman" w:eastAsia="Times New Roman" w:hAnsi="Times New Roman" w:cs="Times New Roman"/>
          <w:sz w:val="24"/>
          <w:szCs w:val="24"/>
          <w:lang w:val="en-AU"/>
        </w:rPr>
        <w:t xml:space="preserve">: 10.1016/j.jpainsymman.2013.07.009. </w:t>
      </w:r>
    </w:p>
    <w:p w:rsidR="00A23AEC" w:rsidRPr="00977AC7" w:rsidRDefault="0015686A"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hAnsi="Times New Roman" w:cs="Times New Roman"/>
          <w:sz w:val="24"/>
          <w:szCs w:val="24"/>
          <w:lang w:val="en-AU"/>
        </w:rPr>
        <w:t xml:space="preserve">Pockett, R., Peate, M., Hobbs, K., Dzidowska, M., L Bell, M., Baylock, B., &amp; Epstein, I. (2016). The characteristics of oncology social work in Australia: Implications for workforce planning in integrated cancer care. </w:t>
      </w:r>
      <w:r w:rsidRPr="00977AC7">
        <w:rPr>
          <w:rFonts w:ascii="Times New Roman" w:hAnsi="Times New Roman" w:cs="Times New Roman"/>
          <w:i/>
          <w:sz w:val="24"/>
          <w:szCs w:val="24"/>
          <w:lang w:val="en-AU"/>
        </w:rPr>
        <w:t>Asia-Pacific Journal of Clinical Oncology, 12</w:t>
      </w:r>
      <w:r w:rsidR="00471D55" w:rsidRPr="00977AC7">
        <w:rPr>
          <w:rFonts w:ascii="Times New Roman" w:hAnsi="Times New Roman" w:cs="Times New Roman"/>
          <w:sz w:val="24"/>
          <w:szCs w:val="24"/>
          <w:lang w:val="en-AU"/>
        </w:rPr>
        <w:t>(4), 444–452. D</w:t>
      </w:r>
      <w:r w:rsidRPr="00977AC7">
        <w:rPr>
          <w:rFonts w:ascii="Times New Roman" w:hAnsi="Times New Roman" w:cs="Times New Roman"/>
          <w:sz w:val="24"/>
          <w:szCs w:val="24"/>
          <w:lang w:val="en-AU"/>
        </w:rPr>
        <w:t>oi:10.1111/ajco.12482</w:t>
      </w:r>
    </w:p>
    <w:p w:rsidR="00A23AEC" w:rsidRPr="00977AC7" w:rsidRDefault="00A23AEC"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hAnsi="Times New Roman" w:cs="Times New Roman"/>
          <w:sz w:val="24"/>
          <w:szCs w:val="24"/>
          <w:lang w:val="en-AU"/>
        </w:rPr>
        <w:t>Rodi</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H</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Sellars</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M</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Todd</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J</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Detering</w:t>
      </w:r>
      <w:r w:rsidR="00471D55" w:rsidRPr="00977AC7">
        <w:rPr>
          <w:rFonts w:ascii="Times New Roman" w:hAnsi="Times New Roman" w:cs="Times New Roman"/>
          <w:sz w:val="24"/>
          <w:szCs w:val="24"/>
          <w:lang w:val="en-AU"/>
        </w:rPr>
        <w:t>, K.</w:t>
      </w:r>
      <w:r w:rsidRPr="00977AC7">
        <w:rPr>
          <w:rFonts w:ascii="Times New Roman" w:hAnsi="Times New Roman" w:cs="Times New Roman"/>
          <w:sz w:val="24"/>
          <w:szCs w:val="24"/>
          <w:lang w:val="en-AU"/>
        </w:rPr>
        <w:t xml:space="preserve">, </w:t>
      </w:r>
      <w:r w:rsidR="00471D55" w:rsidRPr="00977AC7">
        <w:rPr>
          <w:rFonts w:ascii="Times New Roman" w:hAnsi="Times New Roman" w:cs="Times New Roman"/>
          <w:sz w:val="24"/>
          <w:szCs w:val="24"/>
          <w:lang w:val="en-AU"/>
        </w:rPr>
        <w:t xml:space="preserve">&amp; </w:t>
      </w:r>
      <w:r w:rsidRPr="00977AC7">
        <w:rPr>
          <w:rFonts w:ascii="Times New Roman" w:hAnsi="Times New Roman" w:cs="Times New Roman"/>
          <w:sz w:val="24"/>
          <w:szCs w:val="24"/>
          <w:lang w:val="en-AU"/>
        </w:rPr>
        <w:t>Nolte</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xml:space="preserve"> L. </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2020</w:t>
      </w:r>
      <w:r w:rsidR="00471D55" w:rsidRPr="00977AC7">
        <w:rPr>
          <w:rFonts w:ascii="Times New Roman" w:hAnsi="Times New Roman" w:cs="Times New Roman"/>
          <w:sz w:val="24"/>
          <w:szCs w:val="24"/>
          <w:lang w:val="en-AU"/>
        </w:rPr>
        <w:t>)</w:t>
      </w:r>
      <w:r w:rsidRPr="00977AC7">
        <w:rPr>
          <w:rFonts w:ascii="Times New Roman" w:hAnsi="Times New Roman" w:cs="Times New Roman"/>
          <w:sz w:val="24"/>
          <w:szCs w:val="24"/>
          <w:lang w:val="en-AU"/>
        </w:rPr>
        <w:t>. Advance care planning for people with cancer: A rapid review of the literature. A</w:t>
      </w:r>
      <w:r w:rsidRPr="00977AC7">
        <w:rPr>
          <w:rFonts w:ascii="Times New Roman" w:hAnsi="Times New Roman" w:cs="Times New Roman"/>
          <w:i/>
          <w:sz w:val="24"/>
          <w:szCs w:val="24"/>
          <w:lang w:val="en-AU"/>
        </w:rPr>
        <w:t>dvance Care Planning Australia, Austin Health, Melbourne.</w:t>
      </w:r>
      <w:r w:rsidR="00471D55" w:rsidRPr="00977AC7">
        <w:rPr>
          <w:rFonts w:ascii="Times New Roman" w:hAnsi="Times New Roman" w:cs="Times New Roman"/>
          <w:i/>
          <w:sz w:val="24"/>
          <w:szCs w:val="24"/>
          <w:lang w:val="en-AU"/>
        </w:rPr>
        <w:t xml:space="preserve"> </w:t>
      </w:r>
      <w:r w:rsidR="00471D55" w:rsidRPr="00977AC7">
        <w:rPr>
          <w:rFonts w:ascii="Times New Roman" w:hAnsi="Times New Roman" w:cs="Times New Roman"/>
          <w:sz w:val="24"/>
          <w:szCs w:val="24"/>
          <w:lang w:val="en-AU"/>
        </w:rPr>
        <w:t>Pp., 1-18</w:t>
      </w:r>
    </w:p>
    <w:p w:rsidR="00A23AEC" w:rsidRPr="00977AC7" w:rsidRDefault="005B49A6"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hAnsi="Times New Roman" w:cs="Times New Roman"/>
          <w:sz w:val="24"/>
          <w:szCs w:val="24"/>
          <w:lang w:val="en-AU"/>
        </w:rPr>
        <w:t xml:space="preserve">Shiell, A., &amp; Jackson, H. (2018). </w:t>
      </w:r>
      <w:r w:rsidRPr="00977AC7">
        <w:rPr>
          <w:rFonts w:ascii="Times New Roman" w:hAnsi="Times New Roman" w:cs="Times New Roman"/>
          <w:iCs/>
          <w:sz w:val="24"/>
          <w:szCs w:val="24"/>
          <w:lang w:val="en-AU"/>
        </w:rPr>
        <w:t>How much does Australia spend on prevention and how would we know whether it is enough?</w:t>
      </w:r>
      <w:r w:rsidRPr="00977AC7">
        <w:rPr>
          <w:rFonts w:ascii="Times New Roman" w:hAnsi="Times New Roman" w:cs="Times New Roman"/>
          <w:i/>
          <w:iCs/>
          <w:sz w:val="24"/>
          <w:szCs w:val="24"/>
          <w:lang w:val="en-AU"/>
        </w:rPr>
        <w:t xml:space="preserve"> Health Promotion Journal of Australia, 29, </w:t>
      </w:r>
      <w:r w:rsidRPr="00977AC7">
        <w:rPr>
          <w:rFonts w:ascii="Times New Roman" w:hAnsi="Times New Roman" w:cs="Times New Roman"/>
          <w:iCs/>
          <w:sz w:val="24"/>
          <w:szCs w:val="24"/>
          <w:lang w:val="en-AU"/>
        </w:rPr>
        <w:t>7–9.</w:t>
      </w:r>
      <w:r w:rsidRPr="00977AC7">
        <w:rPr>
          <w:rFonts w:ascii="Times New Roman" w:hAnsi="Times New Roman" w:cs="Times New Roman"/>
          <w:sz w:val="24"/>
          <w:szCs w:val="24"/>
          <w:lang w:val="en-AU"/>
        </w:rPr>
        <w:t xml:space="preserve"> Doi:10.1002/hpja.165 </w:t>
      </w:r>
    </w:p>
    <w:p w:rsidR="00A23AEC" w:rsidRPr="00977AC7" w:rsidRDefault="00A23AEC"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eastAsia="Times New Roman" w:hAnsi="Times New Roman" w:cs="Times New Roman"/>
          <w:sz w:val="24"/>
          <w:szCs w:val="24"/>
          <w:lang w:val="en-AU"/>
        </w:rPr>
        <w:t>Thompson</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xml:space="preserve"> S</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Shahid</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xml:space="preserve"> S</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Bessarab</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xml:space="preserve"> D</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Durey</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xml:space="preserve"> A</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xml:space="preserve">, </w:t>
      </w:r>
      <w:r w:rsidR="00471D55" w:rsidRPr="00977AC7">
        <w:rPr>
          <w:rFonts w:ascii="Times New Roman" w:eastAsia="Times New Roman" w:hAnsi="Times New Roman" w:cs="Times New Roman"/>
          <w:sz w:val="24"/>
          <w:szCs w:val="24"/>
          <w:lang w:val="en-AU"/>
        </w:rPr>
        <w:t xml:space="preserve">&amp; </w:t>
      </w:r>
      <w:r w:rsidRPr="00977AC7">
        <w:rPr>
          <w:rFonts w:ascii="Times New Roman" w:eastAsia="Times New Roman" w:hAnsi="Times New Roman" w:cs="Times New Roman"/>
          <w:sz w:val="24"/>
          <w:szCs w:val="24"/>
          <w:lang w:val="en-AU"/>
        </w:rPr>
        <w:t>Davidson</w:t>
      </w:r>
      <w:r w:rsidR="00471D55" w:rsidRPr="00977AC7">
        <w:rPr>
          <w:rFonts w:ascii="Times New Roman" w:eastAsia="Times New Roman" w:hAnsi="Times New Roman" w:cs="Times New Roman"/>
          <w:sz w:val="24"/>
          <w:szCs w:val="24"/>
          <w:lang w:val="en-AU"/>
        </w:rPr>
        <w:t>,</w:t>
      </w:r>
      <w:r w:rsidRPr="00977AC7">
        <w:rPr>
          <w:rFonts w:ascii="Times New Roman" w:eastAsia="Times New Roman" w:hAnsi="Times New Roman" w:cs="Times New Roman"/>
          <w:sz w:val="24"/>
          <w:szCs w:val="24"/>
          <w:lang w:val="en-AU"/>
        </w:rPr>
        <w:t xml:space="preserve"> P. </w:t>
      </w:r>
      <w:r w:rsidR="00471D55" w:rsidRPr="00977AC7">
        <w:rPr>
          <w:rFonts w:ascii="Times New Roman" w:eastAsia="Times New Roman" w:hAnsi="Times New Roman" w:cs="Times New Roman"/>
          <w:sz w:val="24"/>
          <w:szCs w:val="24"/>
          <w:lang w:val="en-AU"/>
        </w:rPr>
        <w:t xml:space="preserve">(2011). </w:t>
      </w:r>
      <w:r w:rsidRPr="00977AC7">
        <w:rPr>
          <w:rFonts w:ascii="Times New Roman" w:eastAsia="Times New Roman" w:hAnsi="Times New Roman" w:cs="Times New Roman"/>
          <w:sz w:val="24"/>
          <w:szCs w:val="24"/>
          <w:lang w:val="en-AU"/>
        </w:rPr>
        <w:t>Not just bricks and mortar: planning hospital cancer services for Aboriginal people.</w:t>
      </w:r>
      <w:r w:rsidRPr="00977AC7">
        <w:rPr>
          <w:rFonts w:ascii="Times New Roman" w:eastAsia="Times New Roman" w:hAnsi="Times New Roman" w:cs="Times New Roman"/>
          <w:i/>
          <w:sz w:val="24"/>
          <w:szCs w:val="24"/>
          <w:lang w:val="en-AU"/>
        </w:rPr>
        <w:t xml:space="preserve"> BMC Res Notes</w:t>
      </w:r>
      <w:r w:rsidR="00471D55" w:rsidRPr="00977AC7">
        <w:rPr>
          <w:rFonts w:ascii="Times New Roman" w:eastAsia="Times New Roman" w:hAnsi="Times New Roman" w:cs="Times New Roman"/>
          <w:i/>
          <w:sz w:val="24"/>
          <w:szCs w:val="24"/>
          <w:lang w:val="en-AU"/>
        </w:rPr>
        <w:t xml:space="preserve">, </w:t>
      </w:r>
      <w:r w:rsidRPr="00977AC7">
        <w:rPr>
          <w:rFonts w:ascii="Times New Roman" w:eastAsia="Times New Roman" w:hAnsi="Times New Roman" w:cs="Times New Roman"/>
          <w:i/>
          <w:sz w:val="24"/>
          <w:szCs w:val="24"/>
          <w:lang w:val="en-AU"/>
        </w:rPr>
        <w:t>1</w:t>
      </w:r>
      <w:r w:rsidR="00471D55" w:rsidRPr="00977AC7">
        <w:rPr>
          <w:rFonts w:ascii="Times New Roman" w:eastAsia="Times New Roman" w:hAnsi="Times New Roman" w:cs="Times New Roman"/>
          <w:i/>
          <w:sz w:val="24"/>
          <w:szCs w:val="24"/>
          <w:lang w:val="en-AU"/>
        </w:rPr>
        <w:t>4</w:t>
      </w:r>
      <w:r w:rsidR="00471D55" w:rsidRPr="00977AC7">
        <w:rPr>
          <w:rFonts w:ascii="Times New Roman" w:eastAsia="Times New Roman" w:hAnsi="Times New Roman" w:cs="Times New Roman"/>
          <w:sz w:val="24"/>
          <w:szCs w:val="24"/>
          <w:lang w:val="en-AU"/>
        </w:rPr>
        <w:t xml:space="preserve"> (</w:t>
      </w:r>
      <w:r w:rsidRPr="00977AC7">
        <w:rPr>
          <w:rFonts w:ascii="Times New Roman" w:eastAsia="Times New Roman" w:hAnsi="Times New Roman" w:cs="Times New Roman"/>
          <w:sz w:val="24"/>
          <w:szCs w:val="24"/>
          <w:lang w:val="en-AU"/>
        </w:rPr>
        <w:t>4</w:t>
      </w:r>
      <w:r w:rsidR="00471D55" w:rsidRPr="00977AC7">
        <w:rPr>
          <w:rFonts w:ascii="Times New Roman" w:eastAsia="Times New Roman" w:hAnsi="Times New Roman" w:cs="Times New Roman"/>
          <w:sz w:val="24"/>
          <w:szCs w:val="24"/>
          <w:lang w:val="en-AU"/>
        </w:rPr>
        <w:t xml:space="preserve">), </w:t>
      </w:r>
      <w:r w:rsidRPr="00977AC7">
        <w:rPr>
          <w:rFonts w:ascii="Times New Roman" w:eastAsia="Times New Roman" w:hAnsi="Times New Roman" w:cs="Times New Roman"/>
          <w:sz w:val="24"/>
          <w:szCs w:val="24"/>
          <w:lang w:val="en-AU"/>
        </w:rPr>
        <w:t>62</w:t>
      </w:r>
      <w:r w:rsidR="00471D55" w:rsidRPr="00977AC7">
        <w:rPr>
          <w:rFonts w:ascii="Times New Roman" w:eastAsia="Times New Roman" w:hAnsi="Times New Roman" w:cs="Times New Roman"/>
          <w:sz w:val="24"/>
          <w:szCs w:val="24"/>
          <w:lang w:val="en-AU"/>
        </w:rPr>
        <w:t>-75</w:t>
      </w:r>
      <w:r w:rsidR="00626E1F" w:rsidRPr="00977AC7">
        <w:rPr>
          <w:rFonts w:ascii="Times New Roman" w:eastAsia="Times New Roman" w:hAnsi="Times New Roman" w:cs="Times New Roman"/>
          <w:sz w:val="24"/>
          <w:szCs w:val="24"/>
          <w:lang w:val="en-AU"/>
        </w:rPr>
        <w:t>. D</w:t>
      </w:r>
      <w:r w:rsidRPr="00977AC7">
        <w:rPr>
          <w:rFonts w:ascii="Times New Roman" w:eastAsia="Times New Roman" w:hAnsi="Times New Roman" w:cs="Times New Roman"/>
          <w:sz w:val="24"/>
          <w:szCs w:val="24"/>
          <w:lang w:val="en-AU"/>
        </w:rPr>
        <w:t xml:space="preserve">oi: 10.1186/1756-0500-4-62. </w:t>
      </w:r>
    </w:p>
    <w:p w:rsidR="00B31A79" w:rsidRPr="00977AC7" w:rsidRDefault="00B31A79"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hAnsi="Times New Roman" w:cs="Times New Roman"/>
          <w:sz w:val="24"/>
          <w:szCs w:val="24"/>
          <w:lang w:val="en-AU"/>
        </w:rPr>
        <w:t xml:space="preserve">White, B., Willmott, L., Tilse, C., Wilson, J., Ferguson, M. M., Aitken, J., … Feeney, R. (2019). </w:t>
      </w:r>
      <w:r w:rsidRPr="00977AC7">
        <w:rPr>
          <w:rFonts w:ascii="Times New Roman" w:hAnsi="Times New Roman" w:cs="Times New Roman"/>
          <w:iCs/>
          <w:sz w:val="24"/>
          <w:szCs w:val="24"/>
          <w:lang w:val="en-AU"/>
        </w:rPr>
        <w:t>Prevalence of advance care directives in the community: A telephone survey of three Australian States.</w:t>
      </w:r>
      <w:r w:rsidR="00626E1F" w:rsidRPr="00977AC7">
        <w:rPr>
          <w:rFonts w:ascii="Times New Roman" w:hAnsi="Times New Roman" w:cs="Times New Roman"/>
          <w:i/>
          <w:iCs/>
          <w:sz w:val="24"/>
          <w:szCs w:val="24"/>
          <w:lang w:val="en-AU"/>
        </w:rPr>
        <w:t xml:space="preserve"> Internal Medicine Journal</w:t>
      </w:r>
      <w:r w:rsidR="00F936D7" w:rsidRPr="00977AC7">
        <w:rPr>
          <w:rFonts w:ascii="Times New Roman" w:hAnsi="Times New Roman" w:cs="Times New Roman"/>
          <w:sz w:val="24"/>
          <w:szCs w:val="24"/>
          <w:lang w:val="en-AU"/>
        </w:rPr>
        <w:t>, 1</w:t>
      </w:r>
      <w:r w:rsidR="00626E1F" w:rsidRPr="00977AC7">
        <w:rPr>
          <w:rFonts w:ascii="Times New Roman" w:hAnsi="Times New Roman" w:cs="Times New Roman"/>
          <w:sz w:val="24"/>
          <w:szCs w:val="24"/>
          <w:lang w:val="en-AU"/>
        </w:rPr>
        <w:t>-16. D</w:t>
      </w:r>
      <w:r w:rsidRPr="00977AC7">
        <w:rPr>
          <w:rFonts w:ascii="Times New Roman" w:hAnsi="Times New Roman" w:cs="Times New Roman"/>
          <w:sz w:val="24"/>
          <w:szCs w:val="24"/>
          <w:lang w:val="en-AU"/>
        </w:rPr>
        <w:t>oi:10.1111/imj.14261 </w:t>
      </w:r>
    </w:p>
    <w:p w:rsidR="00471D55" w:rsidRPr="00977AC7" w:rsidRDefault="00471D55" w:rsidP="00977AC7">
      <w:pPr>
        <w:spacing w:after="0" w:line="480" w:lineRule="auto"/>
        <w:ind w:left="1440" w:hanging="1440"/>
        <w:jc w:val="both"/>
        <w:rPr>
          <w:rFonts w:ascii="Times New Roman" w:hAnsi="Times New Roman" w:cs="Times New Roman"/>
          <w:sz w:val="24"/>
          <w:szCs w:val="24"/>
          <w:lang w:val="en-AU"/>
        </w:rPr>
      </w:pPr>
      <w:r w:rsidRPr="00977AC7">
        <w:rPr>
          <w:rFonts w:ascii="Times New Roman" w:hAnsi="Times New Roman" w:cs="Times New Roman"/>
          <w:sz w:val="24"/>
          <w:szCs w:val="24"/>
          <w:lang w:val="en-AU"/>
        </w:rPr>
        <w:t>WHO (2006). Cancer Control: WHO Guide for Effective Programs- Planning, pp. 1-51. Retrieved on 27 March 2021 from https://apps.who.int/iris/rest/bitstreams/51571/retrieve</w:t>
      </w:r>
    </w:p>
    <w:sectPr w:rsidR="00471D55" w:rsidRPr="00977AC7" w:rsidSect="0005277D">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A29" w:rsidRDefault="00B87A29" w:rsidP="0005277D">
      <w:pPr>
        <w:spacing w:after="0" w:line="240" w:lineRule="auto"/>
      </w:pPr>
      <w:r>
        <w:separator/>
      </w:r>
    </w:p>
  </w:endnote>
  <w:endnote w:type="continuationSeparator" w:id="0">
    <w:p w:rsidR="00B87A29" w:rsidRDefault="00B87A29" w:rsidP="0005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A29" w:rsidRDefault="00B87A29" w:rsidP="0005277D">
      <w:pPr>
        <w:spacing w:after="0" w:line="240" w:lineRule="auto"/>
      </w:pPr>
      <w:r>
        <w:separator/>
      </w:r>
    </w:p>
  </w:footnote>
  <w:footnote w:type="continuationSeparator" w:id="0">
    <w:p w:rsidR="00B87A29" w:rsidRDefault="00B87A29" w:rsidP="00052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49334514"/>
      <w:docPartObj>
        <w:docPartGallery w:val="Page Numbers (Top of Page)"/>
        <w:docPartUnique/>
      </w:docPartObj>
    </w:sdtPr>
    <w:sdtEndPr>
      <w:rPr>
        <w:noProof/>
      </w:rPr>
    </w:sdtEndPr>
    <w:sdtContent>
      <w:p w:rsidR="0005277D" w:rsidRPr="0005277D" w:rsidRDefault="0005277D" w:rsidP="0005277D">
        <w:pPr>
          <w:pStyle w:val="Header"/>
          <w:rPr>
            <w:rFonts w:ascii="Times New Roman" w:hAnsi="Times New Roman" w:cs="Times New Roman"/>
            <w:sz w:val="24"/>
            <w:szCs w:val="24"/>
          </w:rPr>
        </w:pPr>
        <w:r w:rsidRPr="0005277D">
          <w:rPr>
            <w:rFonts w:ascii="Times New Roman" w:hAnsi="Times New Roman" w:cs="Times New Roman"/>
            <w:sz w:val="24"/>
            <w:szCs w:val="24"/>
            <w:lang w:val="en-AU"/>
          </w:rPr>
          <w:t>SOCIAL &amp; HEALTH PLANNING FOR CANCER</w:t>
        </w:r>
        <w:r w:rsidRPr="0005277D">
          <w:rPr>
            <w:rFonts w:ascii="Times New Roman" w:hAnsi="Times New Roman" w:cs="Times New Roman"/>
            <w:sz w:val="24"/>
            <w:szCs w:val="24"/>
          </w:rPr>
          <w:t xml:space="preserve"> </w:t>
        </w:r>
        <w:r w:rsidRPr="0005277D">
          <w:rPr>
            <w:rFonts w:ascii="Times New Roman" w:hAnsi="Times New Roman" w:cs="Times New Roman"/>
            <w:sz w:val="24"/>
            <w:szCs w:val="24"/>
          </w:rPr>
          <w:tab/>
        </w:r>
        <w:r w:rsidRPr="0005277D">
          <w:rPr>
            <w:rFonts w:ascii="Times New Roman" w:hAnsi="Times New Roman" w:cs="Times New Roman"/>
            <w:sz w:val="24"/>
            <w:szCs w:val="24"/>
          </w:rPr>
          <w:fldChar w:fldCharType="begin"/>
        </w:r>
        <w:r w:rsidRPr="0005277D">
          <w:rPr>
            <w:rFonts w:ascii="Times New Roman" w:hAnsi="Times New Roman" w:cs="Times New Roman"/>
            <w:sz w:val="24"/>
            <w:szCs w:val="24"/>
          </w:rPr>
          <w:instrText xml:space="preserve"> PAGE   \* MERGEFORMAT </w:instrText>
        </w:r>
        <w:r w:rsidRPr="0005277D">
          <w:rPr>
            <w:rFonts w:ascii="Times New Roman" w:hAnsi="Times New Roman" w:cs="Times New Roman"/>
            <w:sz w:val="24"/>
            <w:szCs w:val="24"/>
          </w:rPr>
          <w:fldChar w:fldCharType="separate"/>
        </w:r>
        <w:r w:rsidR="00977AC7">
          <w:rPr>
            <w:rFonts w:ascii="Times New Roman" w:hAnsi="Times New Roman" w:cs="Times New Roman"/>
            <w:noProof/>
            <w:sz w:val="24"/>
            <w:szCs w:val="24"/>
          </w:rPr>
          <w:t>8</w:t>
        </w:r>
        <w:r w:rsidRPr="0005277D">
          <w:rPr>
            <w:rFonts w:ascii="Times New Roman" w:hAnsi="Times New Roman" w:cs="Times New Roman"/>
            <w:noProof/>
            <w:sz w:val="24"/>
            <w:szCs w:val="24"/>
          </w:rPr>
          <w:fldChar w:fldCharType="end"/>
        </w:r>
      </w:p>
    </w:sdtContent>
  </w:sdt>
  <w:p w:rsidR="0005277D" w:rsidRDefault="000527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77D" w:rsidRPr="0005277D" w:rsidRDefault="0005277D" w:rsidP="0005277D">
    <w:pPr>
      <w:rPr>
        <w:rFonts w:ascii="Times New Roman" w:hAnsi="Times New Roman" w:cs="Times New Roman"/>
        <w:sz w:val="24"/>
        <w:szCs w:val="24"/>
        <w:lang w:val="en-AU"/>
      </w:rPr>
    </w:pPr>
    <w:r w:rsidRPr="0005277D">
      <w:rPr>
        <w:rFonts w:ascii="Times New Roman" w:hAnsi="Times New Roman" w:cs="Times New Roman"/>
        <w:sz w:val="24"/>
        <w:szCs w:val="24"/>
        <w:lang w:val="en-AU"/>
      </w:rPr>
      <w:t>Running Head: SOCIAL &amp; HEALTH PLANNING FOR CANCER</w:t>
    </w:r>
    <w:r>
      <w:rPr>
        <w:rFonts w:ascii="Times New Roman" w:hAnsi="Times New Roman" w:cs="Times New Roman"/>
        <w:sz w:val="24"/>
        <w:szCs w:val="24"/>
        <w:lang w:val="en-AU"/>
      </w:rPr>
      <w:tab/>
    </w:r>
    <w:r>
      <w:rPr>
        <w:rFonts w:ascii="Times New Roman" w:hAnsi="Times New Roman" w:cs="Times New Roman"/>
        <w:sz w:val="24"/>
        <w:szCs w:val="24"/>
        <w:lang w:val="en-AU"/>
      </w:rPr>
      <w:tab/>
    </w:r>
    <w:r>
      <w:rPr>
        <w:rFonts w:ascii="Times New Roman" w:hAnsi="Times New Roman" w:cs="Times New Roman"/>
        <w:sz w:val="24"/>
        <w:szCs w:val="24"/>
        <w:lang w:val="en-AU"/>
      </w:rPr>
      <w:tab/>
      <w:t xml:space="preserve">          1</w:t>
    </w:r>
  </w:p>
  <w:p w:rsidR="0005277D" w:rsidRDefault="000527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A82"/>
    <w:rsid w:val="0005277D"/>
    <w:rsid w:val="000E7AC8"/>
    <w:rsid w:val="0015686A"/>
    <w:rsid w:val="00241DC7"/>
    <w:rsid w:val="00246349"/>
    <w:rsid w:val="00263C24"/>
    <w:rsid w:val="002D48DD"/>
    <w:rsid w:val="00380415"/>
    <w:rsid w:val="00445423"/>
    <w:rsid w:val="00471D55"/>
    <w:rsid w:val="00526A34"/>
    <w:rsid w:val="005B49A6"/>
    <w:rsid w:val="00611C3E"/>
    <w:rsid w:val="00626E1F"/>
    <w:rsid w:val="006F2EFD"/>
    <w:rsid w:val="00744133"/>
    <w:rsid w:val="00847E50"/>
    <w:rsid w:val="008D1403"/>
    <w:rsid w:val="008E3A68"/>
    <w:rsid w:val="00977AC7"/>
    <w:rsid w:val="00A23AEC"/>
    <w:rsid w:val="00B31A79"/>
    <w:rsid w:val="00B87A29"/>
    <w:rsid w:val="00C13DA2"/>
    <w:rsid w:val="00C17A82"/>
    <w:rsid w:val="00CA3FCF"/>
    <w:rsid w:val="00D04FF3"/>
    <w:rsid w:val="00DD6428"/>
    <w:rsid w:val="00F259CB"/>
    <w:rsid w:val="00F502AD"/>
    <w:rsid w:val="00F9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FADC0-2437-4BD8-8296-60ECA00A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
    <w:name w:val="f"/>
    <w:basedOn w:val="DefaultParagraphFont"/>
    <w:rsid w:val="00744133"/>
  </w:style>
  <w:style w:type="character" w:styleId="Hyperlink">
    <w:name w:val="Hyperlink"/>
    <w:basedOn w:val="DefaultParagraphFont"/>
    <w:uiPriority w:val="99"/>
    <w:unhideWhenUsed/>
    <w:rsid w:val="00744133"/>
    <w:rPr>
      <w:color w:val="0000FF"/>
      <w:u w:val="single"/>
    </w:rPr>
  </w:style>
  <w:style w:type="character" w:customStyle="1" w:styleId="editors">
    <w:name w:val="editors"/>
    <w:basedOn w:val="DefaultParagraphFont"/>
    <w:rsid w:val="00DD6428"/>
  </w:style>
  <w:style w:type="character" w:customStyle="1" w:styleId="authors-list-item">
    <w:name w:val="authors-list-item"/>
    <w:basedOn w:val="DefaultParagraphFont"/>
    <w:rsid w:val="002D48DD"/>
  </w:style>
  <w:style w:type="character" w:customStyle="1" w:styleId="name">
    <w:name w:val="name"/>
    <w:basedOn w:val="DefaultParagraphFont"/>
    <w:rsid w:val="00F259CB"/>
  </w:style>
  <w:style w:type="character" w:customStyle="1" w:styleId="acopre">
    <w:name w:val="acopre"/>
    <w:basedOn w:val="DefaultParagraphFont"/>
    <w:rsid w:val="00380415"/>
  </w:style>
  <w:style w:type="paragraph" w:customStyle="1" w:styleId="Default">
    <w:name w:val="Default"/>
    <w:rsid w:val="00471D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52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77D"/>
  </w:style>
  <w:style w:type="paragraph" w:styleId="Footer">
    <w:name w:val="footer"/>
    <w:basedOn w:val="Normal"/>
    <w:link w:val="FooterChar"/>
    <w:uiPriority w:val="99"/>
    <w:unhideWhenUsed/>
    <w:rsid w:val="00052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77D"/>
  </w:style>
  <w:style w:type="paragraph" w:styleId="NormalWeb">
    <w:name w:val="Normal (Web)"/>
    <w:basedOn w:val="Normal"/>
    <w:uiPriority w:val="99"/>
    <w:unhideWhenUsed/>
    <w:rsid w:val="00CA3F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93589">
      <w:bodyDiv w:val="1"/>
      <w:marLeft w:val="0"/>
      <w:marRight w:val="0"/>
      <w:marTop w:val="0"/>
      <w:marBottom w:val="0"/>
      <w:divBdr>
        <w:top w:val="none" w:sz="0" w:space="0" w:color="auto"/>
        <w:left w:val="none" w:sz="0" w:space="0" w:color="auto"/>
        <w:bottom w:val="none" w:sz="0" w:space="0" w:color="auto"/>
        <w:right w:val="none" w:sz="0" w:space="0" w:color="auto"/>
      </w:divBdr>
      <w:divsChild>
        <w:div w:id="981692978">
          <w:marLeft w:val="0"/>
          <w:marRight w:val="0"/>
          <w:marTop w:val="0"/>
          <w:marBottom w:val="0"/>
          <w:divBdr>
            <w:top w:val="none" w:sz="0" w:space="0" w:color="auto"/>
            <w:left w:val="none" w:sz="0" w:space="0" w:color="auto"/>
            <w:bottom w:val="none" w:sz="0" w:space="0" w:color="auto"/>
            <w:right w:val="none" w:sz="0" w:space="0" w:color="auto"/>
          </w:divBdr>
        </w:div>
      </w:divsChild>
    </w:div>
    <w:div w:id="1109009663">
      <w:bodyDiv w:val="1"/>
      <w:marLeft w:val="0"/>
      <w:marRight w:val="0"/>
      <w:marTop w:val="0"/>
      <w:marBottom w:val="0"/>
      <w:divBdr>
        <w:top w:val="none" w:sz="0" w:space="0" w:color="auto"/>
        <w:left w:val="none" w:sz="0" w:space="0" w:color="auto"/>
        <w:bottom w:val="none" w:sz="0" w:space="0" w:color="auto"/>
        <w:right w:val="none" w:sz="0" w:space="0" w:color="auto"/>
      </w:divBdr>
      <w:divsChild>
        <w:div w:id="2124960235">
          <w:marLeft w:val="0"/>
          <w:marRight w:val="0"/>
          <w:marTop w:val="0"/>
          <w:marBottom w:val="0"/>
          <w:divBdr>
            <w:top w:val="none" w:sz="0" w:space="0" w:color="auto"/>
            <w:left w:val="none" w:sz="0" w:space="0" w:color="auto"/>
            <w:bottom w:val="none" w:sz="0" w:space="0" w:color="auto"/>
            <w:right w:val="none" w:sz="0" w:space="0" w:color="auto"/>
          </w:divBdr>
        </w:div>
      </w:divsChild>
    </w:div>
    <w:div w:id="1861896830">
      <w:bodyDiv w:val="1"/>
      <w:marLeft w:val="0"/>
      <w:marRight w:val="0"/>
      <w:marTop w:val="0"/>
      <w:marBottom w:val="0"/>
      <w:divBdr>
        <w:top w:val="none" w:sz="0" w:space="0" w:color="auto"/>
        <w:left w:val="none" w:sz="0" w:space="0" w:color="auto"/>
        <w:bottom w:val="none" w:sz="0" w:space="0" w:color="auto"/>
        <w:right w:val="none" w:sz="0" w:space="0" w:color="auto"/>
      </w:divBdr>
    </w:div>
    <w:div w:id="20992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Chynoweth%20J%5BAuthor%5D&amp;cauthor=true&amp;cauthor_uid=32031448"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cbi.nlm.nih.gov/pubmed/?term=Goldsbury%20DE%5BAuthor%5D&amp;cauthor=true&amp;cauthor_uid=30059534" TargetMode="External"/><Relationship Id="rId12" Type="http://schemas.openxmlformats.org/officeDocument/2006/relationships/hyperlink" Target="https://doi.org/10.1371/journal.pone.019357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cbi.nlm.nih.gov/pubmed/?term=Goldsbury%20DE%5BAuthor%5D&amp;cauthor=true&amp;cauthor_uid=30059534" TargetMode="External"/><Relationship Id="rId11" Type="http://schemas.openxmlformats.org/officeDocument/2006/relationships/hyperlink" Target="https://pubmed.ncbi.nlm.nih.gov/?term=Michael+N&amp;cauthor_id=24144996"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pubmed.ncbi.nlm.nih.gov/?term=Michael+N&amp;cauthor_id=24144996" TargetMode="External"/><Relationship Id="rId4" Type="http://schemas.openxmlformats.org/officeDocument/2006/relationships/footnotes" Target="footnotes.xml"/><Relationship Id="rId9" Type="http://schemas.openxmlformats.org/officeDocument/2006/relationships/hyperlink" Target="https://www.ncbi.nlm.nih.gov/pubmed/?term=Chynoweth%20J%5BAuthor%5D&amp;cauthor=true&amp;cauthor_uid=3203144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2021-03-28T08:05:00Z</dcterms:created>
  <dcterms:modified xsi:type="dcterms:W3CDTF">2021-03-28T08:20:00Z</dcterms:modified>
</cp:coreProperties>
</file>